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27" w:rsidRDefault="00E96D00">
      <w:pPr>
        <w:jc w:val="center"/>
      </w:pPr>
      <w:r>
        <w:rPr>
          <w:noProof/>
        </w:rPr>
        <w:drawing>
          <wp:inline distT="114300" distB="114300" distL="114300" distR="114300">
            <wp:extent cx="1000125" cy="457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1C27" w:rsidRDefault="00EC1C27"/>
    <w:p w:rsidR="00EC1C27" w:rsidRDefault="00E96D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2018 Induction Specialist Interview Evaluation Form</w:t>
      </w:r>
    </w:p>
    <w:p w:rsidR="00EC1C27" w:rsidRDefault="00EC1C27">
      <w:pPr>
        <w:rPr>
          <w:rFonts w:ascii="Calibri" w:eastAsia="Calibri" w:hAnsi="Calibri" w:cs="Calibri"/>
          <w:b/>
          <w:sz w:val="20"/>
          <w:szCs w:val="20"/>
        </w:rPr>
      </w:pPr>
    </w:p>
    <w:p w:rsidR="00EC1C27" w:rsidRDefault="00E96D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Candidate Name:</w:t>
      </w:r>
      <w:r w:rsidR="007270D1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 Interview Date:</w:t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 w:rsidR="00AE426C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Interviewer Name: </w:t>
      </w:r>
    </w:p>
    <w:p w:rsidR="00EC1C27" w:rsidRDefault="00EC1C27">
      <w:pPr>
        <w:rPr>
          <w:rFonts w:ascii="Calibri" w:eastAsia="Calibri" w:hAnsi="Calibri" w:cs="Calibri"/>
          <w:b/>
          <w:sz w:val="20"/>
          <w:szCs w:val="20"/>
        </w:rPr>
      </w:pPr>
    </w:p>
    <w:p w:rsidR="00EC1C27" w:rsidRDefault="00E96D00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OVERALL SCORES</w:t>
      </w:r>
    </w:p>
    <w:p w:rsidR="00EC1C27" w:rsidRDefault="00EC1C27">
      <w:pPr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</w:p>
    <w:p w:rsidR="00EC1C27" w:rsidRDefault="00EC1C27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EC1C27" w:rsidRDefault="00E96D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NOTES FOR OVERALL RATING</w:t>
      </w:r>
    </w:p>
    <w:tbl>
      <w:tblPr>
        <w:tblStyle w:val="a"/>
        <w:tblW w:w="15147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47"/>
      </w:tblGrid>
      <w:tr w:rsidR="00EC1C27">
        <w:tc>
          <w:tcPr>
            <w:tcW w:w="15147" w:type="dxa"/>
          </w:tcPr>
          <w:p w:rsidR="00EC1C27" w:rsidRDefault="00E96D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RUBRIC AREAS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C1C27" w:rsidRDefault="00EC1C2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C1C27" w:rsidRDefault="00E96D00">
            <w:r>
              <w:rPr>
                <w:b/>
                <w:i/>
                <w:sz w:val="20"/>
                <w:szCs w:val="20"/>
              </w:rPr>
              <w:t>C</w:t>
            </w:r>
            <w:r>
              <w:rPr>
                <w:b/>
                <w:i/>
                <w:sz w:val="22"/>
                <w:szCs w:val="22"/>
              </w:rPr>
              <w:t>K/P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Content Knowledge and Pedagogy:</w:t>
            </w:r>
            <w:r>
              <w:rPr>
                <w:sz w:val="22"/>
                <w:szCs w:val="22"/>
              </w:rPr>
              <w:t xml:space="preserve"> educational background, expertise and success in teaching subject- (up to 15 points)</w:t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Total____________ </w:t>
            </w:r>
          </w:p>
          <w:p w:rsidR="00EC1C27" w:rsidRDefault="00E96D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ACH-</w:t>
            </w:r>
            <w:r>
              <w:rPr>
                <w:b/>
                <w:sz w:val="22"/>
                <w:szCs w:val="22"/>
              </w:rPr>
              <w:t xml:space="preserve"> Achievement</w:t>
            </w:r>
            <w:r>
              <w:rPr>
                <w:sz w:val="22"/>
                <w:szCs w:val="22"/>
              </w:rPr>
              <w:t xml:space="preserve">: shows a trend of excellence and concrete results in endeavors- (up to 20 points)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Total____________ </w:t>
            </w:r>
          </w:p>
          <w:p w:rsidR="00EC1C27" w:rsidRDefault="00E96D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CT</w:t>
            </w:r>
            <w:r>
              <w:rPr>
                <w:b/>
                <w:sz w:val="22"/>
                <w:szCs w:val="22"/>
              </w:rPr>
              <w:t>- Critical Thinking</w:t>
            </w:r>
            <w:r>
              <w:rPr>
                <w:sz w:val="22"/>
                <w:szCs w:val="22"/>
              </w:rPr>
              <w:t xml:space="preserve">: analyzes situations thoroughly and generated effective strategies- (up to 15 points)                                                    </w:t>
            </w:r>
            <w:r>
              <w:rPr>
                <w:b/>
                <w:sz w:val="22"/>
                <w:szCs w:val="22"/>
              </w:rPr>
              <w:t xml:space="preserve"> Total____________</w:t>
            </w:r>
          </w:p>
          <w:p w:rsidR="00EC1C27" w:rsidRDefault="00E96D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CS</w:t>
            </w:r>
            <w:r>
              <w:rPr>
                <w:b/>
                <w:sz w:val="22"/>
                <w:szCs w:val="22"/>
              </w:rPr>
              <w:t>- Communication Skills</w:t>
            </w:r>
            <w:r>
              <w:rPr>
                <w:sz w:val="22"/>
                <w:szCs w:val="22"/>
              </w:rPr>
              <w:t xml:space="preserve">: demonstrates effective oral communication skills (up to 15 points)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Total____________</w:t>
            </w:r>
          </w:p>
          <w:p w:rsidR="00EC1C27" w:rsidRDefault="00E96D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-Professional Engagement: </w:t>
            </w:r>
            <w:r>
              <w:rPr>
                <w:sz w:val="22"/>
                <w:szCs w:val="22"/>
              </w:rPr>
              <w:t xml:space="preserve">demonstrates professionalism (up to 15 points)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Total</w:t>
            </w:r>
            <w:r>
              <w:rPr>
                <w:sz w:val="22"/>
                <w:szCs w:val="22"/>
              </w:rPr>
              <w:t>____________</w:t>
            </w:r>
          </w:p>
          <w:p w:rsidR="00EC1C27" w:rsidRDefault="00E96D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Experience</w:t>
            </w:r>
            <w:r>
              <w:rPr>
                <w:sz w:val="22"/>
                <w:szCs w:val="22"/>
              </w:rPr>
              <w:t xml:space="preserve"> as a teacher (up to 10 points)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Total</w:t>
            </w:r>
            <w:r>
              <w:rPr>
                <w:sz w:val="22"/>
                <w:szCs w:val="22"/>
              </w:rPr>
              <w:t>____________</w:t>
            </w:r>
          </w:p>
          <w:p w:rsidR="00EC1C27" w:rsidRDefault="00E96D0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25yrs+= </w:t>
            </w:r>
            <w:r>
              <w:rPr>
                <w:b/>
                <w:i/>
                <w:sz w:val="22"/>
                <w:szCs w:val="22"/>
              </w:rPr>
              <w:t xml:space="preserve">10pts  </w:t>
            </w:r>
            <w:r>
              <w:rPr>
                <w:sz w:val="22"/>
                <w:szCs w:val="22"/>
              </w:rPr>
              <w:t xml:space="preserve">   20yrs-24yrs= </w:t>
            </w:r>
            <w:r>
              <w:rPr>
                <w:b/>
                <w:i/>
                <w:sz w:val="22"/>
                <w:szCs w:val="22"/>
              </w:rPr>
              <w:t>8pts</w:t>
            </w:r>
            <w:r>
              <w:rPr>
                <w:sz w:val="22"/>
                <w:szCs w:val="22"/>
              </w:rPr>
              <w:t xml:space="preserve">    15yrs-19yrs= </w:t>
            </w:r>
            <w:r>
              <w:rPr>
                <w:b/>
                <w:i/>
                <w:sz w:val="22"/>
                <w:szCs w:val="22"/>
              </w:rPr>
              <w:t>7pts</w:t>
            </w:r>
            <w:r>
              <w:rPr>
                <w:sz w:val="22"/>
                <w:szCs w:val="22"/>
              </w:rPr>
              <w:t xml:space="preserve">    10 yrs-14 </w:t>
            </w:r>
            <w:proofErr w:type="spellStart"/>
            <w:r>
              <w:rPr>
                <w:sz w:val="22"/>
                <w:szCs w:val="22"/>
              </w:rPr>
              <w:t>yrs</w:t>
            </w:r>
            <w:proofErr w:type="spellEnd"/>
            <w:r>
              <w:rPr>
                <w:sz w:val="22"/>
                <w:szCs w:val="22"/>
              </w:rPr>
              <w:t xml:space="preserve">= </w:t>
            </w:r>
            <w:r>
              <w:rPr>
                <w:b/>
                <w:i/>
                <w:sz w:val="22"/>
                <w:szCs w:val="22"/>
              </w:rPr>
              <w:t>6pts</w:t>
            </w:r>
            <w:r>
              <w:rPr>
                <w:sz w:val="22"/>
                <w:szCs w:val="22"/>
              </w:rPr>
              <w:t xml:space="preserve">   5 yrs-9yrs= </w:t>
            </w:r>
            <w:r>
              <w:rPr>
                <w:b/>
                <w:i/>
                <w:sz w:val="22"/>
                <w:szCs w:val="22"/>
              </w:rPr>
              <w:t>5pts</w:t>
            </w:r>
            <w:r>
              <w:rPr>
                <w:sz w:val="22"/>
                <w:szCs w:val="22"/>
              </w:rPr>
              <w:t xml:space="preserve">     1yr to 4yrs=</w:t>
            </w:r>
            <w:r>
              <w:rPr>
                <w:b/>
                <w:i/>
                <w:sz w:val="22"/>
                <w:szCs w:val="22"/>
              </w:rPr>
              <w:t xml:space="preserve"> 4pts</w:t>
            </w:r>
          </w:p>
          <w:p w:rsidR="00EC1C27" w:rsidRDefault="00EC1C27"/>
          <w:p w:rsidR="00EC1C27" w:rsidRDefault="00E96D00">
            <w:r>
              <w:rPr>
                <w:b/>
              </w:rPr>
              <w:t>Overall Total Score                                                                                                                                                                         TOTAL__________</w:t>
            </w:r>
          </w:p>
        </w:tc>
      </w:tr>
    </w:tbl>
    <w:p w:rsidR="00EC1C27" w:rsidRDefault="00EC1C2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C1C27" w:rsidRDefault="00EC1C2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96D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Note: It is important to emphasize during the interview that Induction specialists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are trained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in and use New Teacher Center Formative Assessment System tools with beginning teachers.  It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is expected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that they will use these tools to collect observation data on teachers’ practice, analyze student work, help teachers to self-assess and determine long-term goals, and structure their conversations with teachers.  </w:t>
      </w: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p w:rsidR="00EC1C27" w:rsidRDefault="00E96D00">
      <w:pPr>
        <w:rPr>
          <w:rFonts w:ascii="Calibri" w:eastAsia="Calibri" w:hAnsi="Calibri" w:cs="Calibri"/>
          <w:b/>
          <w:i/>
        </w:rPr>
      </w:pPr>
      <w:r>
        <w:rPr>
          <w:noProof/>
        </w:rPr>
        <w:lastRenderedPageBreak/>
        <w:drawing>
          <wp:inline distT="114300" distB="114300" distL="114300" distR="114300">
            <wp:extent cx="1000125" cy="34766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4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proofErr w:type="gramStart"/>
      <w:r>
        <w:rPr>
          <w:rFonts w:ascii="Calibri" w:eastAsia="Calibri" w:hAnsi="Calibri" w:cs="Calibri"/>
          <w:b/>
          <w:i/>
        </w:rPr>
        <w:t>2nd</w:t>
      </w:r>
      <w:proofErr w:type="gramEnd"/>
      <w:r>
        <w:rPr>
          <w:rFonts w:ascii="Calibri" w:eastAsia="Calibri" w:hAnsi="Calibri" w:cs="Calibri"/>
          <w:b/>
          <w:i/>
        </w:rPr>
        <w:t xml:space="preserve"> Interview- Role Playing</w:t>
      </w:r>
    </w:p>
    <w:p w:rsidR="00EC1C27" w:rsidRDefault="00EC1C27">
      <w:pPr>
        <w:jc w:val="center"/>
        <w:rPr>
          <w:rFonts w:ascii="Calibri" w:eastAsia="Calibri" w:hAnsi="Calibri" w:cs="Calibri"/>
          <w:b/>
          <w:i/>
          <w:sz w:val="18"/>
          <w:szCs w:val="18"/>
        </w:rPr>
      </w:pPr>
    </w:p>
    <w:p w:rsidR="00EC1C27" w:rsidRDefault="00255ACF">
      <w:pPr>
        <w:jc w:val="center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rFonts w:ascii="Calibri" w:eastAsia="Calibri" w:hAnsi="Calibri" w:cs="Calibri"/>
          <w:b/>
          <w:sz w:val="20"/>
          <w:szCs w:val="20"/>
        </w:rPr>
        <w:t>Candidate Name: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</w:t>
      </w:r>
      <w:r w:rsidR="00860F14">
        <w:rPr>
          <w:rFonts w:ascii="Calibri" w:eastAsia="Calibri" w:hAnsi="Calibri" w:cs="Calibri"/>
          <w:b/>
          <w:sz w:val="20"/>
          <w:szCs w:val="20"/>
        </w:rPr>
        <w:tab/>
      </w:r>
      <w:r w:rsidR="00860F14">
        <w:rPr>
          <w:rFonts w:ascii="Calibri" w:eastAsia="Calibri" w:hAnsi="Calibri" w:cs="Calibri"/>
          <w:b/>
          <w:sz w:val="20"/>
          <w:szCs w:val="20"/>
        </w:rPr>
        <w:tab/>
      </w:r>
      <w:r w:rsidR="00860F14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       Interview Date:</w:t>
      </w:r>
      <w:r w:rsidR="00860F14">
        <w:rPr>
          <w:rFonts w:ascii="Calibri" w:eastAsia="Calibri" w:hAnsi="Calibri" w:cs="Calibri"/>
          <w:b/>
          <w:sz w:val="20"/>
          <w:szCs w:val="20"/>
        </w:rPr>
        <w:tab/>
      </w:r>
      <w:r w:rsidR="00860F14">
        <w:rPr>
          <w:rFonts w:ascii="Calibri" w:eastAsia="Calibri" w:hAnsi="Calibri" w:cs="Calibri"/>
          <w:b/>
          <w:sz w:val="20"/>
          <w:szCs w:val="20"/>
        </w:rPr>
        <w:tab/>
      </w:r>
      <w:r w:rsidR="00860F14">
        <w:rPr>
          <w:rFonts w:ascii="Calibri" w:eastAsia="Calibri" w:hAnsi="Calibri" w:cs="Calibri"/>
          <w:b/>
          <w:sz w:val="20"/>
          <w:szCs w:val="20"/>
        </w:rPr>
        <w:tab/>
      </w:r>
      <w:r w:rsidR="00860F14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Interviewer Name: </w:t>
      </w:r>
    </w:p>
    <w:tbl>
      <w:tblPr>
        <w:tblStyle w:val="a0"/>
        <w:tblW w:w="145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0"/>
        <w:gridCol w:w="6231"/>
        <w:gridCol w:w="4860"/>
      </w:tblGrid>
      <w:tr w:rsidR="00EC1C27" w:rsidTr="0060657D">
        <w:trPr>
          <w:trHeight w:val="22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C27" w:rsidRDefault="00E96D00">
            <w:pPr>
              <w:widowControl w:val="0"/>
              <w:spacing w:beforeAutospacing="1"/>
              <w:ind w:left="-2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Questions</w:t>
            </w:r>
          </w:p>
        </w:tc>
        <w:tc>
          <w:tcPr>
            <w:tcW w:w="6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C27" w:rsidRDefault="00E96D00">
            <w:pPr>
              <w:widowControl w:val="0"/>
              <w:spacing w:beforeAutospacing="1"/>
              <w:ind w:left="-2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Possible Indicators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C27" w:rsidRDefault="00E96D00">
            <w:pPr>
              <w:widowControl w:val="0"/>
              <w:spacing w:beforeAutospacing="1"/>
              <w:ind w:left="-2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Evidence</w:t>
            </w:r>
          </w:p>
        </w:tc>
      </w:tr>
      <w:tr w:rsidR="008F6263" w:rsidTr="0060657D">
        <w:trPr>
          <w:trHeight w:val="7704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263" w:rsidRDefault="008F6263" w:rsidP="008F6263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ROLE PLAYING SITUATION</w:t>
            </w:r>
          </w:p>
          <w:p w:rsidR="008F6263" w:rsidRDefault="008F6263" w:rsidP="008F6263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 is the teacher you just watched on the video.  Have a conversation with this beginning teacher.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=</w:t>
            </w: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Demonstrates strong interpersonal skills:</w:t>
            </w:r>
          </w:p>
          <w:p w:rsidR="008F6263" w:rsidRDefault="008F6263" w:rsidP="008F6263">
            <w:pPr>
              <w:widowControl w:val="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445830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-listens well</w:t>
            </w:r>
          </w:p>
          <w:p w:rsidR="008F6263" w:rsidRDefault="008F6263" w:rsidP="008F6263">
            <w:pPr>
              <w:widowControl w:val="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-expresses empathy</w:t>
            </w:r>
            <w:bookmarkStart w:id="0" w:name="_GoBack"/>
            <w:bookmarkEnd w:id="0"/>
          </w:p>
          <w:p w:rsidR="008F6263" w:rsidRDefault="008F6263" w:rsidP="008F6263">
            <w:pPr>
              <w:widowControl w:val="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-responds thoughtfully</w:t>
            </w:r>
          </w:p>
          <w:p w:rsidR="008F6263" w:rsidRDefault="008F6263" w:rsidP="008F6263">
            <w:pPr>
              <w:widowControl w:val="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52519B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asks insightful questions</w:t>
            </w:r>
          </w:p>
          <w:p w:rsidR="008F6263" w:rsidRPr="00494864" w:rsidRDefault="008F6263" w:rsidP="008F6263">
            <w:pPr>
              <w:widowControl w:val="0"/>
              <w:ind w:left="36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-demonstrates open and engaging body language</w:t>
            </w:r>
          </w:p>
          <w:p w:rsidR="008F6263" w:rsidRPr="00494864" w:rsidRDefault="008F6263" w:rsidP="008F6263">
            <w:pPr>
              <w:widowControl w:val="0"/>
              <w:ind w:left="36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=Uses language that reflects high level of personal and professional efficacy</w:t>
            </w: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=Expresses optimism for potential of teachers and schools to effect change in the academic lives of students</w:t>
            </w: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=Able to adapt without being rattled</w:t>
            </w: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=Communicates a commitment to helping beginning teacher improve</w:t>
            </w: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=Willing to go above and beyond to help beginning teacher</w:t>
            </w: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=Persistent and creative in offering solutions to difficult scenarios</w:t>
            </w: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=</w:t>
            </w:r>
            <w:r w:rsidRPr="0052519B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Approaches educational issues with thoughtful questions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reflective responses</w:t>
            </w: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=Explores issues from multiple perspectives</w:t>
            </w: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=Acknowledges complexities and ambiguities</w:t>
            </w:r>
          </w:p>
          <w:p w:rsidR="008F6263" w:rsidRPr="00494864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=Resists easy answers</w:t>
            </w: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=Describes how they use content standards in designing classroom instruction</w:t>
            </w:r>
          </w:p>
          <w:p w:rsidR="008F6263" w:rsidRDefault="008F6263" w:rsidP="008F6263">
            <w:pPr>
              <w:widowControl w:val="0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=Demonstrates inquiring stance towards practice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*Linked to prior-knowledge &amp; praising- really positive framing to open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*Offered constructive feedback from something she saw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*responded well to teacher’s concerns and provided new ideas for expanding what was observed as a classroom management issue during the lesson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*Compliment classroom mgmt. (clapping) &amp; levels of questioning (recall)- both were good starting places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Pr="0049486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knowledge of language &amp; components of language and literacy 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this is a strong skill set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*Introduction of “mix &amp; mingle”- “I can show you…” – focus on engagement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*Able to handle conflict w/ teacher through strategies and positive framing; consistently non-threatening supports</w:t>
            </w:r>
          </w:p>
          <w:p w:rsidR="008F6263" w:rsidRPr="00494864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*”</w:t>
            </w:r>
            <w:r w:rsidRPr="0052519B">
              <w:rPr>
                <w:rFonts w:ascii="Calibri" w:eastAsia="Calibri" w:hAnsi="Calibri" w:cs="Calibri"/>
                <w:i/>
                <w:sz w:val="20"/>
                <w:szCs w:val="20"/>
              </w:rPr>
              <w:t>Is there anything that you want to try next time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?...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Maybe we can start with that and try the ‘Mix &amp; Mingle’”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Pr="00494864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No asking teacher of questions</w:t>
            </w:r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 xml:space="preserve"> before/during the debrief w/ teacher;</w:t>
            </w:r>
            <w:r w:rsidRPr="00494864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 xml:space="preserve">also </w:t>
            </w:r>
            <w:r w:rsidRPr="00494864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consider how to keep notes to provide to the teacher with these ideas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494864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**Suggested within a 10-day period, the teacher &amp; specialist alternate full-days rather than ½ days each day. Interesting</w:t>
            </w:r>
            <w:proofErr w:type="gramStart"/>
            <w:r w:rsidRPr="00494864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!*</w:t>
            </w:r>
            <w:proofErr w:type="gramEnd"/>
            <w:r w:rsidRPr="00494864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*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Exemplary___ 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Full Acceptable___</w:t>
            </w:r>
          </w:p>
          <w:p w:rsidR="008F6263" w:rsidRDefault="008F6263" w:rsidP="008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Not Acceptable_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</w:t>
            </w:r>
          </w:p>
        </w:tc>
      </w:tr>
    </w:tbl>
    <w:p w:rsidR="00EC1C27" w:rsidRDefault="00EC1C27">
      <w:pPr>
        <w:rPr>
          <w:rFonts w:ascii="Calibri" w:eastAsia="Calibri" w:hAnsi="Calibri" w:cs="Calibri"/>
          <w:sz w:val="20"/>
          <w:szCs w:val="20"/>
        </w:rPr>
      </w:pPr>
    </w:p>
    <w:sectPr w:rsidR="00EC1C27">
      <w:footerReference w:type="even" r:id="rId8"/>
      <w:footerReference w:type="default" r:id="rId9"/>
      <w:pgSz w:w="15840" w:h="122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2A" w:rsidRDefault="0003542A">
      <w:r>
        <w:separator/>
      </w:r>
    </w:p>
  </w:endnote>
  <w:endnote w:type="continuationSeparator" w:id="0">
    <w:p w:rsidR="0003542A" w:rsidRDefault="0003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27" w:rsidRDefault="00E96D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1C27" w:rsidRDefault="00EC1C27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27" w:rsidRDefault="00EC1C27">
    <w:pPr>
      <w:pBdr>
        <w:top w:val="nil"/>
        <w:left w:val="nil"/>
        <w:bottom w:val="nil"/>
        <w:right w:val="nil"/>
        <w:between w:val="nil"/>
      </w:pBdr>
      <w:ind w:right="360"/>
      <w:jc w:val="both"/>
      <w:rPr>
        <w:sz w:val="20"/>
        <w:szCs w:val="20"/>
      </w:rPr>
    </w:pPr>
  </w:p>
  <w:p w:rsidR="00EC1C27" w:rsidRDefault="00EC1C27">
    <w:pPr>
      <w:pBdr>
        <w:top w:val="nil"/>
        <w:left w:val="nil"/>
        <w:bottom w:val="nil"/>
        <w:right w:val="nil"/>
        <w:between w:val="nil"/>
      </w:pBdr>
      <w:ind w:right="360"/>
      <w:jc w:val="both"/>
      <w:rPr>
        <w:sz w:val="20"/>
        <w:szCs w:val="20"/>
      </w:rPr>
    </w:pPr>
  </w:p>
  <w:p w:rsidR="00EC1C27" w:rsidRDefault="00EC1C27">
    <w:pPr>
      <w:pBdr>
        <w:top w:val="nil"/>
        <w:left w:val="nil"/>
        <w:bottom w:val="nil"/>
        <w:right w:val="nil"/>
        <w:between w:val="nil"/>
      </w:pBdr>
      <w:ind w:right="360"/>
      <w:jc w:val="both"/>
      <w:rPr>
        <w:sz w:val="20"/>
        <w:szCs w:val="20"/>
      </w:rPr>
    </w:pPr>
  </w:p>
  <w:p w:rsidR="00EC1C27" w:rsidRDefault="00EC1C27">
    <w:pPr>
      <w:pBdr>
        <w:top w:val="nil"/>
        <w:left w:val="nil"/>
        <w:bottom w:val="nil"/>
        <w:right w:val="nil"/>
        <w:between w:val="nil"/>
      </w:pBdr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2A" w:rsidRDefault="0003542A">
      <w:r>
        <w:separator/>
      </w:r>
    </w:p>
  </w:footnote>
  <w:footnote w:type="continuationSeparator" w:id="0">
    <w:p w:rsidR="0003542A" w:rsidRDefault="0003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37C"/>
    <w:multiLevelType w:val="multilevel"/>
    <w:tmpl w:val="4290FE4C"/>
    <w:lvl w:ilvl="0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800ED"/>
    <w:multiLevelType w:val="multilevel"/>
    <w:tmpl w:val="7B90CCAC"/>
    <w:lvl w:ilvl="0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FE6879"/>
    <w:multiLevelType w:val="multilevel"/>
    <w:tmpl w:val="771E3E8C"/>
    <w:lvl w:ilvl="0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444137"/>
    <w:multiLevelType w:val="multilevel"/>
    <w:tmpl w:val="48926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8720B"/>
    <w:multiLevelType w:val="multilevel"/>
    <w:tmpl w:val="D1F09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36025"/>
    <w:multiLevelType w:val="multilevel"/>
    <w:tmpl w:val="62D06000"/>
    <w:lvl w:ilvl="0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415DAB"/>
    <w:multiLevelType w:val="multilevel"/>
    <w:tmpl w:val="6F209790"/>
    <w:lvl w:ilvl="0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996886"/>
    <w:multiLevelType w:val="multilevel"/>
    <w:tmpl w:val="6742A962"/>
    <w:lvl w:ilvl="0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CC7204"/>
    <w:multiLevelType w:val="multilevel"/>
    <w:tmpl w:val="BEF656D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  <w:sz w:val="12"/>
        <w:szCs w:val="12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27"/>
    <w:rsid w:val="0003542A"/>
    <w:rsid w:val="00255ACF"/>
    <w:rsid w:val="00302778"/>
    <w:rsid w:val="00353BD0"/>
    <w:rsid w:val="003D0796"/>
    <w:rsid w:val="0060657D"/>
    <w:rsid w:val="007270D1"/>
    <w:rsid w:val="00860F14"/>
    <w:rsid w:val="008F6263"/>
    <w:rsid w:val="009D2E83"/>
    <w:rsid w:val="00A22496"/>
    <w:rsid w:val="00AE426C"/>
    <w:rsid w:val="00CB2251"/>
    <w:rsid w:val="00CE5D1B"/>
    <w:rsid w:val="00CF15E4"/>
    <w:rsid w:val="00E96D00"/>
    <w:rsid w:val="00EC1C27"/>
    <w:rsid w:val="00F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C8AB"/>
  <w15:docId w15:val="{7EA08E97-B53C-664F-A879-86A69F3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Midwood</dc:creator>
  <cp:lastModifiedBy>Jason Midwood</cp:lastModifiedBy>
  <cp:revision>4</cp:revision>
  <dcterms:created xsi:type="dcterms:W3CDTF">2018-11-08T19:28:00Z</dcterms:created>
  <dcterms:modified xsi:type="dcterms:W3CDTF">2018-11-08T19:33:00Z</dcterms:modified>
</cp:coreProperties>
</file>