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55B2" w14:textId="77777777" w:rsidR="00103FD6" w:rsidRDefault="00103FD6" w:rsidP="00103FD6">
      <w:pPr>
        <w:pStyle w:val="Title"/>
      </w:pPr>
      <w:r>
        <w:t>Educator Effectiveness Systems Assessment</w:t>
      </w:r>
    </w:p>
    <w:p w14:paraId="1BFB77B1" w14:textId="138DBF30" w:rsidR="00103FD6" w:rsidRDefault="00103FD6" w:rsidP="00103FD6">
      <w:pPr>
        <w:pStyle w:val="BodyText"/>
        <w:rPr>
          <w:b/>
        </w:rPr>
      </w:pPr>
      <w:r w:rsidRPr="00BC1610">
        <w:rPr>
          <w:spacing w:val="-4"/>
        </w:rPr>
        <w:t>States and districts have a renewed opportunity to strengthen educator evaluation and professional learning systems with the passage of the</w:t>
      </w:r>
      <w:r w:rsidRPr="00FB32D9">
        <w:t xml:space="preserve"> Every Student Succeeds Act (ESSA), including the authorized use of Title II, Part A funds to drive these continuous improvement efforts. The focus on these systems presents both a challenge and</w:t>
      </w:r>
      <w:r>
        <w:t xml:space="preserve"> an</w:t>
      </w:r>
      <w:r w:rsidRPr="00FB32D9">
        <w:t xml:space="preserve"> opportunity to shift the emphasis on evaluation from a compliance model with generic feedback provided to some educators to a continuous improvement model with personalized, specific feedback for all educators that is then connected to opportunities for professional learning</w:t>
      </w:r>
      <w:r>
        <w:t xml:space="preserve"> and support</w:t>
      </w:r>
      <w:r w:rsidRPr="00FB32D9">
        <w:t>. This shift also presents the powerful opportunity to advance equity by providing access to effective teachers for all students.</w:t>
      </w:r>
      <w:r>
        <w:t xml:space="preserve"> </w:t>
      </w:r>
      <w:r w:rsidRPr="00FB32D9">
        <w:t xml:space="preserve">This </w:t>
      </w:r>
      <w:r>
        <w:t xml:space="preserve">educator effectiveness </w:t>
      </w:r>
      <w:r w:rsidRPr="00FB32D9">
        <w:t>systems assessment tool</w:t>
      </w:r>
      <w:r>
        <w:t xml:space="preserve"> complements the </w:t>
      </w:r>
      <w:hyperlink r:id="rId8" w:history="1">
        <w:r w:rsidRPr="002A7E40">
          <w:rPr>
            <w:rStyle w:val="Hyperlink"/>
          </w:rPr>
          <w:t>Collaborative for Continuous Improvement of Educator Effectiveness Systems (the Collaborative) Guiding Principles brief</w:t>
        </w:r>
      </w:hyperlink>
      <w:r>
        <w:t>. The tool seeks to</w:t>
      </w:r>
      <w:r w:rsidRPr="00FB32D9">
        <w:t xml:space="preserve"> </w:t>
      </w:r>
      <w:r>
        <w:t>help</w:t>
      </w:r>
      <w:r w:rsidRPr="00FB32D9">
        <w:t xml:space="preserve"> </w:t>
      </w:r>
      <w:r>
        <w:t>state education agency (</w:t>
      </w:r>
      <w:r w:rsidRPr="00FB32D9">
        <w:t>SEA</w:t>
      </w:r>
      <w:r>
        <w:t>) and local education agency</w:t>
      </w:r>
      <w:r w:rsidRPr="00FB32D9">
        <w:t xml:space="preserve"> </w:t>
      </w:r>
      <w:r>
        <w:t>(</w:t>
      </w:r>
      <w:r w:rsidRPr="00FB32D9">
        <w:t>LEA</w:t>
      </w:r>
      <w:r>
        <w:t>)</w:t>
      </w:r>
      <w:r w:rsidRPr="00FB32D9">
        <w:t xml:space="preserve"> leaders </w:t>
      </w:r>
      <w:r>
        <w:t xml:space="preserve">to </w:t>
      </w:r>
      <w:r w:rsidRPr="00FB32D9">
        <w:t xml:space="preserve">identify which guiding principle(s) featured in the brief would be a good entry point to continuously improve an educator evaluation system. </w:t>
      </w:r>
    </w:p>
    <w:p w14:paraId="192B75AE" w14:textId="03CD9C5F" w:rsidR="00103FD6" w:rsidRDefault="00103FD6" w:rsidP="00103FD6">
      <w:pPr>
        <w:pStyle w:val="BodyText"/>
      </w:pPr>
      <w:r w:rsidRPr="004D6566">
        <w:rPr>
          <w:b/>
        </w:rPr>
        <w:t xml:space="preserve">Instructions: </w:t>
      </w:r>
      <w:r w:rsidRPr="00A82167">
        <w:t>The table</w:t>
      </w:r>
      <w:r>
        <w:t xml:space="preserve"> below outlines the six guiding principles, three key “readiness to pursue” strategies for each guiding principle, and a four-part self-assessment rating scale about the extent to which an SEA or LEA educator effectiveness system demonstrates action with or evidence of a readiness to pursue a given strategy.</w:t>
      </w:r>
      <w:r w:rsidRPr="00A82167">
        <w:t xml:space="preserve"> </w:t>
      </w:r>
    </w:p>
    <w:p w14:paraId="334E466A" w14:textId="4D57BC82" w:rsidR="00103FD6" w:rsidRPr="00103FD6" w:rsidRDefault="00103FD6" w:rsidP="00103FD6">
      <w:pPr>
        <w:pStyle w:val="BodyText"/>
        <w:rPr>
          <w:b/>
        </w:rPr>
      </w:pPr>
      <w:r>
        <w:t>Convene a team of policy makers, leaders, and key stakeholders re</w:t>
      </w:r>
      <w:bookmarkStart w:id="0" w:name="_GoBack"/>
      <w:bookmarkEnd w:id="0"/>
      <w:r>
        <w:t xml:space="preserve">lated to your SEA or LEA’s educator effectiveness initiatives and work. Prior to the meeting, read the guiding principles described in the brief. As a team, review and discuss each guiding principle’s </w:t>
      </w:r>
      <w:r w:rsidRPr="009A1966">
        <w:rPr>
          <w:b/>
          <w:i/>
        </w:rPr>
        <w:t>readiness to pursue strategies</w:t>
      </w:r>
      <w:r>
        <w:t xml:space="preserve"> for continuous improvement. Based on the discussions</w:t>
      </w:r>
      <w:r w:rsidR="004C7774">
        <w:t xml:space="preserve"> and analysis of data</w:t>
      </w:r>
      <w:r>
        <w:t xml:space="preserve">, determine whether your system’s readiness to pursue strategies for continuous improvement is </w:t>
      </w:r>
      <w:r w:rsidR="00C7654A" w:rsidRPr="009A1966">
        <w:rPr>
          <w:rStyle w:val="Hyperlink"/>
          <w:i/>
          <w:color w:val="auto"/>
          <w:u w:val="none"/>
        </w:rPr>
        <w:t>emerging</w:t>
      </w:r>
      <w:r w:rsidR="00C7654A" w:rsidRPr="009A1966">
        <w:rPr>
          <w:rStyle w:val="Hyperlink"/>
          <w:color w:val="auto"/>
          <w:u w:val="none"/>
        </w:rPr>
        <w:t xml:space="preserve">, </w:t>
      </w:r>
      <w:r w:rsidR="00C7654A" w:rsidRPr="009A1966">
        <w:rPr>
          <w:rStyle w:val="Hyperlink"/>
          <w:i/>
          <w:color w:val="auto"/>
          <w:u w:val="none"/>
        </w:rPr>
        <w:t>developing</w:t>
      </w:r>
      <w:r w:rsidR="00C7654A" w:rsidRPr="009A1966">
        <w:rPr>
          <w:rStyle w:val="Hyperlink"/>
          <w:color w:val="auto"/>
          <w:u w:val="none"/>
        </w:rPr>
        <w:t xml:space="preserve">, </w:t>
      </w:r>
      <w:r w:rsidR="00C7654A" w:rsidRPr="009A1966">
        <w:rPr>
          <w:rStyle w:val="Hyperlink"/>
          <w:i/>
          <w:color w:val="auto"/>
          <w:u w:val="none"/>
        </w:rPr>
        <w:t>performing</w:t>
      </w:r>
      <w:r w:rsidR="00C7654A" w:rsidRPr="009A1966">
        <w:rPr>
          <w:rStyle w:val="Hyperlink"/>
          <w:color w:val="auto"/>
          <w:u w:val="none"/>
        </w:rPr>
        <w:t xml:space="preserve">, or </w:t>
      </w:r>
      <w:r w:rsidR="00C7654A" w:rsidRPr="009A1966">
        <w:rPr>
          <w:rStyle w:val="Hyperlink"/>
          <w:i/>
          <w:color w:val="auto"/>
          <w:u w:val="none"/>
        </w:rPr>
        <w:t>transforming</w:t>
      </w:r>
      <w:r w:rsidR="00C7654A" w:rsidRPr="009A1966">
        <w:rPr>
          <w:rStyle w:val="Hyperlink"/>
          <w:color w:val="auto"/>
          <w:u w:val="none"/>
        </w:rPr>
        <w:t xml:space="preserve"> for each strategy</w:t>
      </w:r>
      <w:r w:rsidR="00251A5A" w:rsidRPr="009A1966">
        <w:rPr>
          <w:rStyle w:val="Hyperlink"/>
          <w:color w:val="auto"/>
          <w:u w:val="none"/>
        </w:rPr>
        <w:t>.</w:t>
      </w:r>
      <w:r w:rsidR="00C7654A" w:rsidRPr="009A1966">
        <w:rPr>
          <w:rStyle w:val="FootnoteReference"/>
        </w:rPr>
        <w:footnoteReference w:id="1"/>
      </w:r>
      <w:r w:rsidRPr="009A1966">
        <w:t xml:space="preserve"> </w:t>
      </w:r>
      <w:r>
        <w:t>After the team rates the strategies within each guiding principle, discuss the reflection questions below the table to determine where to focus your continuous improvement efforts based on readiness.</w:t>
      </w:r>
    </w:p>
    <w:tbl>
      <w:tblPr>
        <w:tblStyle w:val="AIRBlueTable"/>
        <w:tblW w:w="4970" w:type="pct"/>
        <w:jc w:val="lef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20" w:firstRow="1" w:lastRow="0" w:firstColumn="0" w:lastColumn="0" w:noHBand="1" w:noVBand="1"/>
      </w:tblPr>
      <w:tblGrid>
        <w:gridCol w:w="4299"/>
        <w:gridCol w:w="1512"/>
        <w:gridCol w:w="1513"/>
        <w:gridCol w:w="1513"/>
        <w:gridCol w:w="1672"/>
        <w:gridCol w:w="2353"/>
      </w:tblGrid>
      <w:tr w:rsidR="000338CE" w:rsidRPr="004D6566" w14:paraId="1E38BE1B" w14:textId="4C7FAC00" w:rsidTr="009A1966">
        <w:trPr>
          <w:cnfStyle w:val="100000000000" w:firstRow="1" w:lastRow="0" w:firstColumn="0" w:lastColumn="0" w:oddVBand="0" w:evenVBand="0" w:oddHBand="0" w:evenHBand="0" w:firstRowFirstColumn="0" w:firstRowLastColumn="0" w:lastRowFirstColumn="0" w:lastRowLastColumn="0"/>
          <w:tblHeader/>
          <w:jc w:val="left"/>
        </w:trPr>
        <w:tc>
          <w:tcPr>
            <w:tcW w:w="3951" w:type="dxa"/>
            <w:tcBorders>
              <w:bottom w:val="nil"/>
            </w:tcBorders>
            <w:vAlign w:val="bottom"/>
          </w:tcPr>
          <w:p w14:paraId="5CF01ECE" w14:textId="77777777" w:rsidR="000338CE" w:rsidRPr="00103FD6" w:rsidRDefault="000338CE" w:rsidP="00103FD6">
            <w:pPr>
              <w:pStyle w:val="TableColHeadingCenter"/>
              <w:keepNext/>
              <w:jc w:val="left"/>
              <w:rPr>
                <w:b/>
              </w:rPr>
            </w:pPr>
            <w:r>
              <w:rPr>
                <w:b/>
              </w:rPr>
              <w:lastRenderedPageBreak/>
              <w:t xml:space="preserve">Readiness to Pursue </w:t>
            </w:r>
            <w:r w:rsidRPr="00FB32D9">
              <w:rPr>
                <w:b/>
              </w:rPr>
              <w:t xml:space="preserve">Strategies for Continuous Improvement </w:t>
            </w:r>
          </w:p>
        </w:tc>
        <w:tc>
          <w:tcPr>
            <w:tcW w:w="0" w:type="dxa"/>
          </w:tcPr>
          <w:p w14:paraId="02DABDED" w14:textId="77777777" w:rsidR="000338CE" w:rsidRPr="004D6566" w:rsidRDefault="000338CE" w:rsidP="00103FD6">
            <w:pPr>
              <w:pStyle w:val="TableColHeadingCenter"/>
              <w:keepNext/>
              <w:rPr>
                <w:b/>
              </w:rPr>
            </w:pPr>
            <w:r w:rsidRPr="004D6566">
              <w:rPr>
                <w:b/>
              </w:rPr>
              <w:t>Emerging</w:t>
            </w:r>
          </w:p>
        </w:tc>
        <w:tc>
          <w:tcPr>
            <w:tcW w:w="0" w:type="dxa"/>
          </w:tcPr>
          <w:p w14:paraId="1CB4CE98" w14:textId="77777777" w:rsidR="000338CE" w:rsidRPr="00B63EC9" w:rsidRDefault="000338CE" w:rsidP="00103FD6">
            <w:pPr>
              <w:pStyle w:val="TableColHeadingCenter"/>
              <w:keepNext/>
              <w:rPr>
                <w:b/>
              </w:rPr>
            </w:pPr>
            <w:r w:rsidRPr="00B63EC9">
              <w:rPr>
                <w:b/>
              </w:rPr>
              <w:t>Developing</w:t>
            </w:r>
          </w:p>
        </w:tc>
        <w:tc>
          <w:tcPr>
            <w:tcW w:w="0" w:type="dxa"/>
          </w:tcPr>
          <w:p w14:paraId="5F66581D" w14:textId="77777777" w:rsidR="000338CE" w:rsidRPr="004D6566" w:rsidRDefault="000338CE" w:rsidP="00103FD6">
            <w:pPr>
              <w:pStyle w:val="TableColHeadingCenter"/>
              <w:keepNext/>
              <w:rPr>
                <w:b/>
              </w:rPr>
            </w:pPr>
            <w:r w:rsidRPr="004D6566">
              <w:rPr>
                <w:b/>
              </w:rPr>
              <w:t>Performing</w:t>
            </w:r>
          </w:p>
        </w:tc>
        <w:tc>
          <w:tcPr>
            <w:tcW w:w="0" w:type="dxa"/>
          </w:tcPr>
          <w:p w14:paraId="744F3888" w14:textId="77777777" w:rsidR="000338CE" w:rsidRPr="004D6566" w:rsidRDefault="000338CE" w:rsidP="00103FD6">
            <w:pPr>
              <w:pStyle w:val="TableColHeadingCenter"/>
              <w:keepNext/>
              <w:rPr>
                <w:b/>
              </w:rPr>
            </w:pPr>
            <w:r w:rsidRPr="004D6566">
              <w:rPr>
                <w:b/>
              </w:rPr>
              <w:t>Transforming</w:t>
            </w:r>
          </w:p>
        </w:tc>
        <w:tc>
          <w:tcPr>
            <w:tcW w:w="2162" w:type="dxa"/>
          </w:tcPr>
          <w:p w14:paraId="58F64EDF" w14:textId="6B6C953B" w:rsidR="000338CE" w:rsidRPr="009A1966" w:rsidRDefault="000338CE" w:rsidP="00103FD6">
            <w:pPr>
              <w:pStyle w:val="TableColHeadingCenter"/>
              <w:keepNext/>
              <w:rPr>
                <w:b/>
              </w:rPr>
            </w:pPr>
            <w:r w:rsidRPr="000338CE">
              <w:t>Rationale</w:t>
            </w:r>
          </w:p>
        </w:tc>
      </w:tr>
      <w:tr w:rsidR="000338CE" w:rsidRPr="004D6566" w14:paraId="53EC3116" w14:textId="7C3C96CD" w:rsidTr="009A1966">
        <w:trPr>
          <w:cnfStyle w:val="100000000000" w:firstRow="1" w:lastRow="0" w:firstColumn="0" w:lastColumn="0" w:oddVBand="0" w:evenVBand="0" w:oddHBand="0" w:evenHBand="0" w:firstRowFirstColumn="0" w:firstRowLastColumn="0" w:lastRowFirstColumn="0" w:lastRowLastColumn="0"/>
          <w:tblHeader/>
          <w:jc w:val="left"/>
        </w:trPr>
        <w:tc>
          <w:tcPr>
            <w:tcW w:w="3951" w:type="dxa"/>
            <w:tcBorders>
              <w:top w:val="nil"/>
            </w:tcBorders>
            <w:vAlign w:val="bottom"/>
          </w:tcPr>
          <w:p w14:paraId="01E1DFAA" w14:textId="39E793CE" w:rsidR="000338CE" w:rsidRPr="00103FD6" w:rsidRDefault="000338CE" w:rsidP="00103FD6">
            <w:pPr>
              <w:pStyle w:val="TableColHeadingLeft"/>
              <w:rPr>
                <w:rFonts w:ascii="Arial" w:hAnsi="Arial" w:cs="Arial"/>
                <w:b/>
                <w:i/>
              </w:rPr>
            </w:pPr>
          </w:p>
        </w:tc>
        <w:tc>
          <w:tcPr>
            <w:tcW w:w="0" w:type="dxa"/>
            <w:vAlign w:val="bottom"/>
          </w:tcPr>
          <w:p w14:paraId="514E25AB" w14:textId="77777777" w:rsidR="000338CE" w:rsidRPr="00643199" w:rsidRDefault="000338CE" w:rsidP="00103FD6">
            <w:pPr>
              <w:pStyle w:val="TableTextCentered"/>
              <w:rPr>
                <w:b w:val="0"/>
                <w:i/>
                <w:szCs w:val="22"/>
              </w:rPr>
            </w:pPr>
            <w:r w:rsidRPr="00643199">
              <w:rPr>
                <w:b w:val="0"/>
                <w:i/>
                <w:szCs w:val="22"/>
              </w:rPr>
              <w:t>System demonstrates little or no action with or evidence of strategy</w:t>
            </w:r>
          </w:p>
        </w:tc>
        <w:tc>
          <w:tcPr>
            <w:tcW w:w="0" w:type="dxa"/>
            <w:vAlign w:val="bottom"/>
          </w:tcPr>
          <w:p w14:paraId="3E07F1B5" w14:textId="77777777" w:rsidR="000338CE" w:rsidRPr="00643199" w:rsidRDefault="000338CE" w:rsidP="00103FD6">
            <w:pPr>
              <w:pStyle w:val="TableTextCentered"/>
              <w:rPr>
                <w:b w:val="0"/>
                <w:i/>
                <w:szCs w:val="22"/>
              </w:rPr>
            </w:pPr>
            <w:r w:rsidRPr="00643199">
              <w:rPr>
                <w:b w:val="0"/>
                <w:i/>
                <w:szCs w:val="22"/>
              </w:rPr>
              <w:t>System demonstrates some action with or evidence of strategy</w:t>
            </w:r>
          </w:p>
        </w:tc>
        <w:tc>
          <w:tcPr>
            <w:tcW w:w="0" w:type="dxa"/>
            <w:vAlign w:val="bottom"/>
          </w:tcPr>
          <w:p w14:paraId="51D07C67" w14:textId="77777777" w:rsidR="000338CE" w:rsidRPr="00643199" w:rsidRDefault="000338CE" w:rsidP="00103FD6">
            <w:pPr>
              <w:pStyle w:val="TableTextCentered"/>
              <w:rPr>
                <w:b w:val="0"/>
                <w:i/>
                <w:szCs w:val="22"/>
              </w:rPr>
            </w:pPr>
            <w:r w:rsidRPr="00643199">
              <w:rPr>
                <w:b w:val="0"/>
                <w:i/>
                <w:szCs w:val="22"/>
              </w:rPr>
              <w:t>System demonstrates significant and effective action with or evidence of strategy</w:t>
            </w:r>
          </w:p>
        </w:tc>
        <w:tc>
          <w:tcPr>
            <w:tcW w:w="0" w:type="dxa"/>
            <w:vAlign w:val="bottom"/>
          </w:tcPr>
          <w:p w14:paraId="4641587B" w14:textId="77777777" w:rsidR="000338CE" w:rsidRPr="00643199" w:rsidRDefault="000338CE" w:rsidP="00103FD6">
            <w:pPr>
              <w:pStyle w:val="TableTextCentered"/>
              <w:rPr>
                <w:b w:val="0"/>
                <w:i/>
                <w:szCs w:val="22"/>
              </w:rPr>
            </w:pPr>
            <w:r w:rsidRPr="00643199">
              <w:rPr>
                <w:b w:val="0"/>
                <w:i/>
                <w:szCs w:val="22"/>
              </w:rPr>
              <w:t>System demonstrates exemplary and sustainable action with or evidence of strategy</w:t>
            </w:r>
          </w:p>
        </w:tc>
        <w:tc>
          <w:tcPr>
            <w:tcW w:w="2162" w:type="dxa"/>
          </w:tcPr>
          <w:p w14:paraId="3B7235DA" w14:textId="1621E616" w:rsidR="000338CE" w:rsidRPr="009A1966" w:rsidRDefault="000338CE" w:rsidP="00103FD6">
            <w:pPr>
              <w:pStyle w:val="TableTextCentered"/>
              <w:rPr>
                <w:b w:val="0"/>
                <w:i/>
                <w:szCs w:val="22"/>
              </w:rPr>
            </w:pPr>
            <w:r>
              <w:rPr>
                <w:b w:val="0"/>
                <w:i/>
                <w:szCs w:val="22"/>
              </w:rPr>
              <w:t xml:space="preserve">How do you know your system </w:t>
            </w:r>
            <w:r w:rsidR="004C7774">
              <w:rPr>
                <w:b w:val="0"/>
                <w:i/>
                <w:szCs w:val="22"/>
              </w:rPr>
              <w:t>demonstrates action or evidence of strategy?</w:t>
            </w:r>
          </w:p>
        </w:tc>
      </w:tr>
      <w:tr w:rsidR="000338CE" w:rsidRPr="004D6566" w14:paraId="153D9584" w14:textId="2788BDF2" w:rsidTr="009A1966">
        <w:trPr>
          <w:jc w:val="left"/>
        </w:trPr>
        <w:tc>
          <w:tcPr>
            <w:tcW w:w="3951" w:type="dxa"/>
            <w:shd w:val="clear" w:color="auto" w:fill="DAE3ED" w:themeFill="text2" w:themeFillTint="33"/>
          </w:tcPr>
          <w:p w14:paraId="018A444A" w14:textId="53D9EFE3" w:rsidR="000338CE" w:rsidRDefault="000338CE" w:rsidP="00103FD6">
            <w:pPr>
              <w:pStyle w:val="TableSubheading"/>
            </w:pPr>
            <w:r w:rsidRPr="004D6566">
              <w:t>Guiding Principle 1: Embed educator evaluation and professional learning systems within a coherent talent management system.</w:t>
            </w:r>
          </w:p>
          <w:p w14:paraId="6AD4B233" w14:textId="77777777" w:rsidR="00114BAC" w:rsidRDefault="00114BAC" w:rsidP="00103FD6">
            <w:pPr>
              <w:pStyle w:val="TableSubheading"/>
            </w:pPr>
          </w:p>
          <w:p w14:paraId="272400FF" w14:textId="7CC54D74" w:rsidR="000338CE" w:rsidRPr="004D6566" w:rsidRDefault="000338CE" w:rsidP="00103FD6">
            <w:pPr>
              <w:pStyle w:val="TableSubheading"/>
              <w:rPr>
                <w:sz w:val="18"/>
                <w:szCs w:val="18"/>
              </w:rPr>
            </w:pPr>
            <w:r>
              <w:t>Our talent management system</w:t>
            </w:r>
            <w:r w:rsidR="00114BAC">
              <w:t>:</w:t>
            </w:r>
          </w:p>
        </w:tc>
        <w:tc>
          <w:tcPr>
            <w:tcW w:w="0" w:type="dxa"/>
            <w:shd w:val="clear" w:color="auto" w:fill="DAE3ED" w:themeFill="text2" w:themeFillTint="33"/>
          </w:tcPr>
          <w:p w14:paraId="2B46EE9C" w14:textId="77777777" w:rsidR="000338CE" w:rsidRPr="004D6566" w:rsidRDefault="000338CE" w:rsidP="00103FD6">
            <w:pPr>
              <w:pStyle w:val="TableText"/>
            </w:pPr>
          </w:p>
        </w:tc>
        <w:tc>
          <w:tcPr>
            <w:tcW w:w="0" w:type="dxa"/>
            <w:shd w:val="clear" w:color="auto" w:fill="DAE3ED" w:themeFill="text2" w:themeFillTint="33"/>
          </w:tcPr>
          <w:p w14:paraId="5B3CA472" w14:textId="77777777" w:rsidR="000338CE" w:rsidRPr="00B63EC9" w:rsidRDefault="000338CE" w:rsidP="00103FD6">
            <w:pPr>
              <w:pStyle w:val="TableText"/>
            </w:pPr>
          </w:p>
        </w:tc>
        <w:tc>
          <w:tcPr>
            <w:tcW w:w="0" w:type="dxa"/>
            <w:shd w:val="clear" w:color="auto" w:fill="DAE3ED" w:themeFill="text2" w:themeFillTint="33"/>
          </w:tcPr>
          <w:p w14:paraId="407D9815" w14:textId="77777777" w:rsidR="000338CE" w:rsidRPr="004D6566" w:rsidRDefault="000338CE" w:rsidP="00103FD6">
            <w:pPr>
              <w:pStyle w:val="TableText"/>
            </w:pPr>
          </w:p>
        </w:tc>
        <w:tc>
          <w:tcPr>
            <w:tcW w:w="0" w:type="dxa"/>
            <w:shd w:val="clear" w:color="auto" w:fill="DAE3ED" w:themeFill="text2" w:themeFillTint="33"/>
          </w:tcPr>
          <w:p w14:paraId="2D404256" w14:textId="77777777" w:rsidR="000338CE" w:rsidRPr="004D6566" w:rsidRDefault="000338CE" w:rsidP="00103FD6">
            <w:pPr>
              <w:pStyle w:val="TableText"/>
            </w:pPr>
          </w:p>
        </w:tc>
        <w:tc>
          <w:tcPr>
            <w:tcW w:w="2162" w:type="dxa"/>
            <w:shd w:val="clear" w:color="auto" w:fill="DAE3ED" w:themeFill="text2" w:themeFillTint="33"/>
          </w:tcPr>
          <w:p w14:paraId="43EBA6E9" w14:textId="77777777" w:rsidR="000338CE" w:rsidRPr="004D6566" w:rsidRDefault="000338CE" w:rsidP="00103FD6">
            <w:pPr>
              <w:pStyle w:val="TableText"/>
            </w:pPr>
          </w:p>
        </w:tc>
      </w:tr>
      <w:tr w:rsidR="000338CE" w:rsidRPr="004D6566" w14:paraId="5C80044D" w14:textId="426F02C0" w:rsidTr="009A1966">
        <w:trPr>
          <w:jc w:val="left"/>
        </w:trPr>
        <w:tc>
          <w:tcPr>
            <w:tcW w:w="3951" w:type="dxa"/>
          </w:tcPr>
          <w:p w14:paraId="769DAC3C" w14:textId="77777777" w:rsidR="000338CE" w:rsidRPr="004D6566" w:rsidRDefault="000338CE" w:rsidP="00524053">
            <w:pPr>
              <w:pStyle w:val="TableNumbering"/>
            </w:pPr>
            <w:r w:rsidRPr="004D6566">
              <w:t xml:space="preserve">Aligns educator preparation, </w:t>
            </w:r>
            <w:r w:rsidRPr="00FB32D9">
              <w:t>mentoring</w:t>
            </w:r>
            <w:r w:rsidRPr="004D6566">
              <w:t>, and induction programs</w:t>
            </w:r>
            <w:r>
              <w:t xml:space="preserve"> with educator evaluation and professional learning systems such that there is </w:t>
            </w:r>
            <w:r w:rsidRPr="005F2EF9">
              <w:rPr>
                <w:b/>
              </w:rPr>
              <w:t>consistency in expectations</w:t>
            </w:r>
            <w:r w:rsidRPr="004D6566">
              <w:t xml:space="preserve"> including the sharing of relevant data for continuous improvement efforts.</w:t>
            </w:r>
          </w:p>
        </w:tc>
        <w:tc>
          <w:tcPr>
            <w:tcW w:w="0" w:type="dxa"/>
          </w:tcPr>
          <w:p w14:paraId="19E57E59" w14:textId="77777777" w:rsidR="000338CE" w:rsidRPr="004D6566" w:rsidRDefault="000338CE" w:rsidP="00103FD6">
            <w:pPr>
              <w:pStyle w:val="TableText"/>
            </w:pPr>
          </w:p>
        </w:tc>
        <w:tc>
          <w:tcPr>
            <w:tcW w:w="0" w:type="dxa"/>
          </w:tcPr>
          <w:p w14:paraId="142CDC40" w14:textId="77777777" w:rsidR="000338CE" w:rsidRPr="00B63EC9" w:rsidRDefault="000338CE" w:rsidP="00103FD6">
            <w:pPr>
              <w:pStyle w:val="TableText"/>
            </w:pPr>
          </w:p>
        </w:tc>
        <w:tc>
          <w:tcPr>
            <w:tcW w:w="0" w:type="dxa"/>
          </w:tcPr>
          <w:p w14:paraId="180A3468" w14:textId="77777777" w:rsidR="000338CE" w:rsidRPr="004D6566" w:rsidRDefault="000338CE" w:rsidP="00103FD6">
            <w:pPr>
              <w:pStyle w:val="TableText"/>
            </w:pPr>
          </w:p>
        </w:tc>
        <w:tc>
          <w:tcPr>
            <w:tcW w:w="0" w:type="dxa"/>
          </w:tcPr>
          <w:p w14:paraId="5A893340" w14:textId="77777777" w:rsidR="000338CE" w:rsidRPr="004D6566" w:rsidRDefault="000338CE" w:rsidP="00103FD6">
            <w:pPr>
              <w:pStyle w:val="TableText"/>
            </w:pPr>
          </w:p>
        </w:tc>
        <w:tc>
          <w:tcPr>
            <w:tcW w:w="2162" w:type="dxa"/>
          </w:tcPr>
          <w:p w14:paraId="37C94BE1" w14:textId="77777777" w:rsidR="000338CE" w:rsidRPr="004D6566" w:rsidRDefault="000338CE" w:rsidP="00103FD6">
            <w:pPr>
              <w:pStyle w:val="TableText"/>
            </w:pPr>
          </w:p>
        </w:tc>
      </w:tr>
      <w:tr w:rsidR="000338CE" w:rsidRPr="004D6566" w14:paraId="440E4BAB" w14:textId="4070BF32" w:rsidTr="009A1966">
        <w:trPr>
          <w:jc w:val="left"/>
        </w:trPr>
        <w:tc>
          <w:tcPr>
            <w:tcW w:w="3951" w:type="dxa"/>
          </w:tcPr>
          <w:p w14:paraId="3631E6F3" w14:textId="5115C6FD" w:rsidR="000338CE" w:rsidRPr="004D6566" w:rsidRDefault="000338CE" w:rsidP="00524053">
            <w:pPr>
              <w:pStyle w:val="TableNumbering"/>
            </w:pPr>
            <w:r w:rsidRPr="004D6566">
              <w:t xml:space="preserve">Supports and informs </w:t>
            </w:r>
            <w:r w:rsidRPr="005F2EF9">
              <w:rPr>
                <w:b/>
              </w:rPr>
              <w:t>strategies focused on attracting, recruiting, and hiring</w:t>
            </w:r>
            <w:r>
              <w:t xml:space="preserve"> effective teachers</w:t>
            </w:r>
            <w:r w:rsidRPr="004D6566">
              <w:t xml:space="preserve">, and leveraging professional learning and career pathways </w:t>
            </w:r>
            <w:r w:rsidRPr="00FB32D9">
              <w:t>to ensure all students have access to effective educators.</w:t>
            </w:r>
          </w:p>
        </w:tc>
        <w:tc>
          <w:tcPr>
            <w:tcW w:w="0" w:type="dxa"/>
          </w:tcPr>
          <w:p w14:paraId="3375BE1D" w14:textId="77777777" w:rsidR="000338CE" w:rsidRPr="004D6566" w:rsidRDefault="000338CE" w:rsidP="00103FD6">
            <w:pPr>
              <w:pStyle w:val="TableText"/>
            </w:pPr>
          </w:p>
        </w:tc>
        <w:tc>
          <w:tcPr>
            <w:tcW w:w="0" w:type="dxa"/>
          </w:tcPr>
          <w:p w14:paraId="470B1D1A" w14:textId="77777777" w:rsidR="000338CE" w:rsidRPr="00B63EC9" w:rsidRDefault="000338CE" w:rsidP="00103FD6">
            <w:pPr>
              <w:pStyle w:val="TableText"/>
            </w:pPr>
          </w:p>
        </w:tc>
        <w:tc>
          <w:tcPr>
            <w:tcW w:w="0" w:type="dxa"/>
          </w:tcPr>
          <w:p w14:paraId="10683BA0" w14:textId="77777777" w:rsidR="000338CE" w:rsidRPr="004D6566" w:rsidRDefault="000338CE" w:rsidP="00103FD6">
            <w:pPr>
              <w:pStyle w:val="TableText"/>
            </w:pPr>
          </w:p>
        </w:tc>
        <w:tc>
          <w:tcPr>
            <w:tcW w:w="0" w:type="dxa"/>
          </w:tcPr>
          <w:p w14:paraId="09C4200D" w14:textId="77777777" w:rsidR="000338CE" w:rsidRPr="004D6566" w:rsidRDefault="000338CE" w:rsidP="00103FD6">
            <w:pPr>
              <w:pStyle w:val="TableText"/>
            </w:pPr>
          </w:p>
        </w:tc>
        <w:tc>
          <w:tcPr>
            <w:tcW w:w="2162" w:type="dxa"/>
          </w:tcPr>
          <w:p w14:paraId="4063AD71" w14:textId="77777777" w:rsidR="000338CE" w:rsidRPr="004D6566" w:rsidRDefault="000338CE" w:rsidP="00103FD6">
            <w:pPr>
              <w:pStyle w:val="TableText"/>
            </w:pPr>
          </w:p>
        </w:tc>
      </w:tr>
      <w:tr w:rsidR="000338CE" w:rsidRPr="004D6566" w14:paraId="2643D5E9" w14:textId="4B019E71" w:rsidTr="009A1966">
        <w:trPr>
          <w:jc w:val="left"/>
        </w:trPr>
        <w:tc>
          <w:tcPr>
            <w:tcW w:w="3951" w:type="dxa"/>
          </w:tcPr>
          <w:p w14:paraId="7379BAC1" w14:textId="77777777" w:rsidR="000338CE" w:rsidRPr="00B63EC9" w:rsidRDefault="000338CE" w:rsidP="00524053">
            <w:pPr>
              <w:pStyle w:val="TableNumbering"/>
            </w:pPr>
            <w:r w:rsidRPr="005F2EF9">
              <w:rPr>
                <w:b/>
              </w:rPr>
              <w:t>Connects divisions/departments</w:t>
            </w:r>
            <w:r w:rsidRPr="004D6566">
              <w:t xml:space="preserve"> to use evaluation and retention data to forecast and share educator hiring needs and to increase the number of diverse teachers.</w:t>
            </w:r>
            <w:r w:rsidRPr="00B63EC9">
              <w:t xml:space="preserve"> </w:t>
            </w:r>
          </w:p>
        </w:tc>
        <w:tc>
          <w:tcPr>
            <w:tcW w:w="0" w:type="dxa"/>
          </w:tcPr>
          <w:p w14:paraId="1FFE83F0" w14:textId="77777777" w:rsidR="000338CE" w:rsidRPr="004D6566" w:rsidRDefault="000338CE" w:rsidP="00103FD6">
            <w:pPr>
              <w:pStyle w:val="TableText"/>
            </w:pPr>
          </w:p>
        </w:tc>
        <w:tc>
          <w:tcPr>
            <w:tcW w:w="0" w:type="dxa"/>
          </w:tcPr>
          <w:p w14:paraId="0218518D" w14:textId="77777777" w:rsidR="000338CE" w:rsidRPr="004D6566" w:rsidRDefault="000338CE" w:rsidP="00103FD6">
            <w:pPr>
              <w:pStyle w:val="TableText"/>
            </w:pPr>
          </w:p>
        </w:tc>
        <w:tc>
          <w:tcPr>
            <w:tcW w:w="0" w:type="dxa"/>
          </w:tcPr>
          <w:p w14:paraId="79FD4D02" w14:textId="77777777" w:rsidR="000338CE" w:rsidRPr="004D6566" w:rsidRDefault="000338CE" w:rsidP="00103FD6">
            <w:pPr>
              <w:pStyle w:val="TableText"/>
            </w:pPr>
          </w:p>
        </w:tc>
        <w:tc>
          <w:tcPr>
            <w:tcW w:w="0" w:type="dxa"/>
          </w:tcPr>
          <w:p w14:paraId="05804E2D" w14:textId="77777777" w:rsidR="000338CE" w:rsidRPr="004D6566" w:rsidRDefault="000338CE" w:rsidP="00103FD6">
            <w:pPr>
              <w:pStyle w:val="TableText"/>
            </w:pPr>
          </w:p>
        </w:tc>
        <w:tc>
          <w:tcPr>
            <w:tcW w:w="2162" w:type="dxa"/>
          </w:tcPr>
          <w:p w14:paraId="18283F74" w14:textId="77777777" w:rsidR="000338CE" w:rsidRPr="004D6566" w:rsidRDefault="000338CE" w:rsidP="00103FD6">
            <w:pPr>
              <w:pStyle w:val="TableText"/>
            </w:pPr>
          </w:p>
        </w:tc>
      </w:tr>
      <w:tr w:rsidR="000338CE" w:rsidRPr="004D6566" w14:paraId="52A918E3" w14:textId="5B16F5EB" w:rsidTr="009A1966">
        <w:trPr>
          <w:trHeight w:val="215"/>
          <w:jc w:val="left"/>
        </w:trPr>
        <w:tc>
          <w:tcPr>
            <w:tcW w:w="3951" w:type="dxa"/>
            <w:shd w:val="clear" w:color="auto" w:fill="DAE3ED" w:themeFill="text2" w:themeFillTint="33"/>
          </w:tcPr>
          <w:p w14:paraId="2E074BDB" w14:textId="3255E14D" w:rsidR="000338CE" w:rsidRDefault="000338CE" w:rsidP="009A1966">
            <w:pPr>
              <w:pStyle w:val="TableSubheading"/>
              <w:keepNext/>
            </w:pPr>
            <w:r w:rsidRPr="004D6566">
              <w:lastRenderedPageBreak/>
              <w:t>Guiding Principle 2: Revisit authentic communication and collaborative engagement of stakeholders.</w:t>
            </w:r>
          </w:p>
          <w:p w14:paraId="23B10F21" w14:textId="77777777" w:rsidR="004C7774" w:rsidRDefault="004C7774" w:rsidP="009A1966">
            <w:pPr>
              <w:pStyle w:val="TableSubheading"/>
              <w:keepNext/>
            </w:pPr>
          </w:p>
          <w:p w14:paraId="13722304" w14:textId="26C854CD" w:rsidR="000338CE" w:rsidRPr="009A1966" w:rsidRDefault="000338CE" w:rsidP="009A1966">
            <w:pPr>
              <w:pStyle w:val="TableSubheading"/>
              <w:keepNext/>
              <w:rPr>
                <w:szCs w:val="22"/>
              </w:rPr>
            </w:pPr>
            <w:r w:rsidRPr="009A1966">
              <w:rPr>
                <w:szCs w:val="22"/>
              </w:rPr>
              <w:t>Our communication about teacher evaluation</w:t>
            </w:r>
            <w:r w:rsidR="004C7774">
              <w:rPr>
                <w:szCs w:val="22"/>
              </w:rPr>
              <w:t xml:space="preserve"> and professional learning</w:t>
            </w:r>
            <w:r w:rsidRPr="009A1966">
              <w:rPr>
                <w:szCs w:val="22"/>
              </w:rPr>
              <w:t xml:space="preserve">: </w:t>
            </w:r>
          </w:p>
        </w:tc>
        <w:tc>
          <w:tcPr>
            <w:tcW w:w="0" w:type="dxa"/>
            <w:shd w:val="clear" w:color="auto" w:fill="DAE3ED" w:themeFill="text2" w:themeFillTint="33"/>
          </w:tcPr>
          <w:p w14:paraId="1CB5FBFD" w14:textId="77777777" w:rsidR="000338CE" w:rsidRPr="004D6566" w:rsidRDefault="000338CE" w:rsidP="009A1966">
            <w:pPr>
              <w:pStyle w:val="TableText"/>
              <w:keepNext/>
            </w:pPr>
          </w:p>
        </w:tc>
        <w:tc>
          <w:tcPr>
            <w:tcW w:w="0" w:type="dxa"/>
            <w:shd w:val="clear" w:color="auto" w:fill="DAE3ED" w:themeFill="text2" w:themeFillTint="33"/>
          </w:tcPr>
          <w:p w14:paraId="0C90E0D8" w14:textId="77777777" w:rsidR="000338CE" w:rsidRPr="004D6566" w:rsidRDefault="000338CE" w:rsidP="009A1966">
            <w:pPr>
              <w:pStyle w:val="TableText"/>
              <w:keepNext/>
            </w:pPr>
          </w:p>
        </w:tc>
        <w:tc>
          <w:tcPr>
            <w:tcW w:w="0" w:type="dxa"/>
            <w:shd w:val="clear" w:color="auto" w:fill="DAE3ED" w:themeFill="text2" w:themeFillTint="33"/>
          </w:tcPr>
          <w:p w14:paraId="2D0E8055" w14:textId="77777777" w:rsidR="000338CE" w:rsidRPr="004D6566" w:rsidRDefault="000338CE" w:rsidP="009A1966">
            <w:pPr>
              <w:pStyle w:val="TableText"/>
              <w:keepNext/>
            </w:pPr>
          </w:p>
        </w:tc>
        <w:tc>
          <w:tcPr>
            <w:tcW w:w="0" w:type="dxa"/>
            <w:shd w:val="clear" w:color="auto" w:fill="DAE3ED" w:themeFill="text2" w:themeFillTint="33"/>
          </w:tcPr>
          <w:p w14:paraId="205E09C2" w14:textId="77777777" w:rsidR="000338CE" w:rsidRPr="004D6566" w:rsidRDefault="000338CE" w:rsidP="009A1966">
            <w:pPr>
              <w:pStyle w:val="TableText"/>
              <w:keepNext/>
            </w:pPr>
          </w:p>
        </w:tc>
        <w:tc>
          <w:tcPr>
            <w:tcW w:w="2162" w:type="dxa"/>
            <w:shd w:val="clear" w:color="auto" w:fill="DAE3ED" w:themeFill="text2" w:themeFillTint="33"/>
          </w:tcPr>
          <w:p w14:paraId="1AE51BBB" w14:textId="77777777" w:rsidR="000338CE" w:rsidRPr="004D6566" w:rsidRDefault="000338CE" w:rsidP="009A1966">
            <w:pPr>
              <w:pStyle w:val="TableText"/>
              <w:keepNext/>
            </w:pPr>
          </w:p>
        </w:tc>
      </w:tr>
      <w:tr w:rsidR="000338CE" w:rsidRPr="004D6566" w14:paraId="2512F6CE" w14:textId="626582DD" w:rsidTr="009A1966">
        <w:trPr>
          <w:jc w:val="left"/>
        </w:trPr>
        <w:tc>
          <w:tcPr>
            <w:tcW w:w="3951" w:type="dxa"/>
          </w:tcPr>
          <w:p w14:paraId="3C2CAC42" w14:textId="77777777" w:rsidR="000338CE" w:rsidRPr="004D6566" w:rsidRDefault="000338CE" w:rsidP="00524053">
            <w:pPr>
              <w:pStyle w:val="TableNumbering"/>
              <w:rPr>
                <w:b/>
                <w:sz w:val="24"/>
              </w:rPr>
            </w:pPr>
            <w:r w:rsidRPr="00FB32D9">
              <w:t xml:space="preserve">Engages </w:t>
            </w:r>
            <w:r w:rsidRPr="004D6566">
              <w:t xml:space="preserve">educators with multiple opportunities to </w:t>
            </w:r>
            <w:r w:rsidRPr="009A1966">
              <w:rPr>
                <w:b/>
              </w:rPr>
              <w:t>contribute to system refinement</w:t>
            </w:r>
            <w:r w:rsidRPr="004D6566">
              <w:t xml:space="preserve">, such as co-creating or revising evaluation frameworks, tools, and resources. </w:t>
            </w:r>
          </w:p>
        </w:tc>
        <w:tc>
          <w:tcPr>
            <w:tcW w:w="0" w:type="dxa"/>
          </w:tcPr>
          <w:p w14:paraId="18D93A1E" w14:textId="77777777" w:rsidR="000338CE" w:rsidRPr="00B63EC9" w:rsidRDefault="000338CE" w:rsidP="00103FD6">
            <w:pPr>
              <w:pStyle w:val="TableText"/>
            </w:pPr>
          </w:p>
        </w:tc>
        <w:tc>
          <w:tcPr>
            <w:tcW w:w="0" w:type="dxa"/>
          </w:tcPr>
          <w:p w14:paraId="60975814" w14:textId="77777777" w:rsidR="000338CE" w:rsidRPr="004D6566" w:rsidRDefault="000338CE" w:rsidP="00103FD6">
            <w:pPr>
              <w:pStyle w:val="TableText"/>
            </w:pPr>
            <w:r>
              <w:t xml:space="preserve"> </w:t>
            </w:r>
          </w:p>
        </w:tc>
        <w:tc>
          <w:tcPr>
            <w:tcW w:w="0" w:type="dxa"/>
          </w:tcPr>
          <w:p w14:paraId="291AE689" w14:textId="77777777" w:rsidR="000338CE" w:rsidRPr="004D6566" w:rsidRDefault="000338CE" w:rsidP="00103FD6">
            <w:pPr>
              <w:pStyle w:val="TableText"/>
            </w:pPr>
          </w:p>
        </w:tc>
        <w:tc>
          <w:tcPr>
            <w:tcW w:w="0" w:type="dxa"/>
          </w:tcPr>
          <w:p w14:paraId="080AE57F" w14:textId="77777777" w:rsidR="000338CE" w:rsidRPr="004D6566" w:rsidRDefault="000338CE" w:rsidP="00103FD6">
            <w:pPr>
              <w:pStyle w:val="TableText"/>
            </w:pPr>
          </w:p>
        </w:tc>
        <w:tc>
          <w:tcPr>
            <w:tcW w:w="2162" w:type="dxa"/>
          </w:tcPr>
          <w:p w14:paraId="6B5A3F62" w14:textId="77777777" w:rsidR="000338CE" w:rsidRPr="004D6566" w:rsidRDefault="000338CE" w:rsidP="00103FD6">
            <w:pPr>
              <w:pStyle w:val="TableText"/>
            </w:pPr>
          </w:p>
        </w:tc>
      </w:tr>
      <w:tr w:rsidR="000338CE" w:rsidRPr="004D6566" w14:paraId="1785A875" w14:textId="003E9069" w:rsidTr="009A1966">
        <w:trPr>
          <w:jc w:val="left"/>
        </w:trPr>
        <w:tc>
          <w:tcPr>
            <w:tcW w:w="3951" w:type="dxa"/>
          </w:tcPr>
          <w:p w14:paraId="6393031E" w14:textId="77777777" w:rsidR="000338CE" w:rsidRPr="004D6566" w:rsidRDefault="000338CE" w:rsidP="00524053">
            <w:pPr>
              <w:pStyle w:val="TableNumbering"/>
            </w:pPr>
            <w:r w:rsidRPr="00FB32D9">
              <w:t>Promotes</w:t>
            </w:r>
            <w:r w:rsidRPr="004D6566">
              <w:t xml:space="preserve"> timely and clear communication about </w:t>
            </w:r>
            <w:r w:rsidRPr="009A1966">
              <w:rPr>
                <w:b/>
              </w:rPr>
              <w:t>how stakeholder input was applied</w:t>
            </w:r>
            <w:r w:rsidRPr="004D6566">
              <w:t xml:space="preserve"> to any changes or adjustments to the evaluation system.</w:t>
            </w:r>
          </w:p>
        </w:tc>
        <w:tc>
          <w:tcPr>
            <w:tcW w:w="0" w:type="dxa"/>
          </w:tcPr>
          <w:p w14:paraId="19EB7E47" w14:textId="77777777" w:rsidR="000338CE" w:rsidRPr="00B63EC9" w:rsidRDefault="000338CE" w:rsidP="00103FD6">
            <w:pPr>
              <w:pStyle w:val="TableText"/>
            </w:pPr>
          </w:p>
        </w:tc>
        <w:tc>
          <w:tcPr>
            <w:tcW w:w="0" w:type="dxa"/>
          </w:tcPr>
          <w:p w14:paraId="7A581E3D" w14:textId="77777777" w:rsidR="000338CE" w:rsidRPr="004D6566" w:rsidRDefault="000338CE" w:rsidP="00103FD6">
            <w:pPr>
              <w:pStyle w:val="TableText"/>
            </w:pPr>
          </w:p>
        </w:tc>
        <w:tc>
          <w:tcPr>
            <w:tcW w:w="0" w:type="dxa"/>
          </w:tcPr>
          <w:p w14:paraId="218D100F" w14:textId="77777777" w:rsidR="000338CE" w:rsidRPr="004D6566" w:rsidRDefault="000338CE" w:rsidP="00103FD6">
            <w:pPr>
              <w:pStyle w:val="TableText"/>
            </w:pPr>
          </w:p>
        </w:tc>
        <w:tc>
          <w:tcPr>
            <w:tcW w:w="0" w:type="dxa"/>
          </w:tcPr>
          <w:p w14:paraId="3BADD9B4" w14:textId="77777777" w:rsidR="000338CE" w:rsidRPr="004D6566" w:rsidRDefault="000338CE" w:rsidP="00103FD6">
            <w:pPr>
              <w:pStyle w:val="TableText"/>
            </w:pPr>
          </w:p>
        </w:tc>
        <w:tc>
          <w:tcPr>
            <w:tcW w:w="2162" w:type="dxa"/>
          </w:tcPr>
          <w:p w14:paraId="7B36BEB8" w14:textId="77777777" w:rsidR="000338CE" w:rsidRPr="004D6566" w:rsidRDefault="000338CE" w:rsidP="00103FD6">
            <w:pPr>
              <w:pStyle w:val="TableText"/>
            </w:pPr>
          </w:p>
        </w:tc>
      </w:tr>
      <w:tr w:rsidR="000338CE" w:rsidRPr="004D6566" w14:paraId="5ABC105C" w14:textId="7E3F89FC" w:rsidTr="009A1966">
        <w:trPr>
          <w:jc w:val="left"/>
        </w:trPr>
        <w:tc>
          <w:tcPr>
            <w:tcW w:w="3951" w:type="dxa"/>
          </w:tcPr>
          <w:p w14:paraId="7D9C50B7" w14:textId="77777777" w:rsidR="000338CE" w:rsidRPr="004D6566" w:rsidRDefault="000338CE" w:rsidP="00524053">
            <w:pPr>
              <w:pStyle w:val="TableNumbering"/>
            </w:pPr>
            <w:r w:rsidRPr="00FB32D9">
              <w:t>Makes</w:t>
            </w:r>
            <w:r w:rsidRPr="004D6566">
              <w:t xml:space="preserve"> clear and consistent </w:t>
            </w:r>
            <w:r w:rsidRPr="009A1966">
              <w:rPr>
                <w:b/>
              </w:rPr>
              <w:t>linkages in communication and messages between evaluation and the activities</w:t>
            </w:r>
            <w:r w:rsidRPr="004D6566">
              <w:t xml:space="preserve"> it is meant to support</w:t>
            </w:r>
            <w:r>
              <w:t xml:space="preserve"> such as professional learning.</w:t>
            </w:r>
          </w:p>
        </w:tc>
        <w:tc>
          <w:tcPr>
            <w:tcW w:w="0" w:type="dxa"/>
          </w:tcPr>
          <w:p w14:paraId="70D16FDE" w14:textId="77777777" w:rsidR="000338CE" w:rsidRPr="00B63EC9" w:rsidRDefault="000338CE" w:rsidP="00103FD6">
            <w:pPr>
              <w:pStyle w:val="TableText"/>
            </w:pPr>
          </w:p>
        </w:tc>
        <w:tc>
          <w:tcPr>
            <w:tcW w:w="0" w:type="dxa"/>
          </w:tcPr>
          <w:p w14:paraId="2DBD8D5D" w14:textId="77777777" w:rsidR="000338CE" w:rsidRPr="004D6566" w:rsidRDefault="000338CE" w:rsidP="00103FD6">
            <w:pPr>
              <w:pStyle w:val="TableText"/>
            </w:pPr>
          </w:p>
        </w:tc>
        <w:tc>
          <w:tcPr>
            <w:tcW w:w="0" w:type="dxa"/>
          </w:tcPr>
          <w:p w14:paraId="5BE4EA0C" w14:textId="77777777" w:rsidR="000338CE" w:rsidRPr="004D6566" w:rsidRDefault="000338CE" w:rsidP="00103FD6">
            <w:pPr>
              <w:pStyle w:val="TableText"/>
            </w:pPr>
          </w:p>
        </w:tc>
        <w:tc>
          <w:tcPr>
            <w:tcW w:w="0" w:type="dxa"/>
          </w:tcPr>
          <w:p w14:paraId="77F3B036" w14:textId="77777777" w:rsidR="000338CE" w:rsidRPr="004D6566" w:rsidRDefault="000338CE" w:rsidP="00103FD6">
            <w:pPr>
              <w:pStyle w:val="TableText"/>
            </w:pPr>
          </w:p>
        </w:tc>
        <w:tc>
          <w:tcPr>
            <w:tcW w:w="2162" w:type="dxa"/>
          </w:tcPr>
          <w:p w14:paraId="669D7B69" w14:textId="77777777" w:rsidR="000338CE" w:rsidRPr="004D6566" w:rsidRDefault="000338CE" w:rsidP="00103FD6">
            <w:pPr>
              <w:pStyle w:val="TableText"/>
            </w:pPr>
          </w:p>
        </w:tc>
      </w:tr>
      <w:tr w:rsidR="000338CE" w:rsidRPr="004D6566" w14:paraId="3C8EAA29" w14:textId="42945684" w:rsidTr="009A1966">
        <w:trPr>
          <w:jc w:val="left"/>
        </w:trPr>
        <w:tc>
          <w:tcPr>
            <w:tcW w:w="3951" w:type="dxa"/>
            <w:shd w:val="clear" w:color="auto" w:fill="DAE3ED" w:themeFill="text2" w:themeFillTint="33"/>
          </w:tcPr>
          <w:p w14:paraId="78054D08" w14:textId="77777777" w:rsidR="000338CE" w:rsidRDefault="000338CE" w:rsidP="009A1966">
            <w:pPr>
              <w:pStyle w:val="TableSubheading"/>
              <w:keepNext/>
            </w:pPr>
            <w:r w:rsidRPr="004D6566">
              <w:lastRenderedPageBreak/>
              <w:t>Guiding Principle 3: Use data in decision making and tracking</w:t>
            </w:r>
            <w:r>
              <w:t> </w:t>
            </w:r>
            <w:r w:rsidRPr="004D6566">
              <w:t>outcomes.</w:t>
            </w:r>
          </w:p>
          <w:p w14:paraId="2557CE21" w14:textId="77777777" w:rsidR="004C7774" w:rsidRDefault="004C7774" w:rsidP="009A1966">
            <w:pPr>
              <w:pStyle w:val="TableSubheading"/>
              <w:keepNext/>
            </w:pPr>
          </w:p>
          <w:p w14:paraId="7BCC864A" w14:textId="14D8A816" w:rsidR="004C7774" w:rsidRPr="004D6566" w:rsidRDefault="004C7774" w:rsidP="009A1966">
            <w:pPr>
              <w:pStyle w:val="TableSubheading"/>
              <w:keepNext/>
            </w:pPr>
            <w:r>
              <w:t>Our talent management system:</w:t>
            </w:r>
          </w:p>
        </w:tc>
        <w:tc>
          <w:tcPr>
            <w:tcW w:w="0" w:type="dxa"/>
            <w:shd w:val="clear" w:color="auto" w:fill="DAE3ED" w:themeFill="text2" w:themeFillTint="33"/>
          </w:tcPr>
          <w:p w14:paraId="7048C229" w14:textId="77777777" w:rsidR="000338CE" w:rsidRPr="004D6566" w:rsidRDefault="000338CE" w:rsidP="009A1966">
            <w:pPr>
              <w:pStyle w:val="TableText"/>
              <w:keepNext/>
            </w:pPr>
          </w:p>
        </w:tc>
        <w:tc>
          <w:tcPr>
            <w:tcW w:w="0" w:type="dxa"/>
            <w:shd w:val="clear" w:color="auto" w:fill="DAE3ED" w:themeFill="text2" w:themeFillTint="33"/>
          </w:tcPr>
          <w:p w14:paraId="324D93B5" w14:textId="77777777" w:rsidR="000338CE" w:rsidRPr="004D6566" w:rsidRDefault="000338CE" w:rsidP="009A1966">
            <w:pPr>
              <w:pStyle w:val="TableText"/>
              <w:keepNext/>
            </w:pPr>
          </w:p>
        </w:tc>
        <w:tc>
          <w:tcPr>
            <w:tcW w:w="0" w:type="dxa"/>
            <w:shd w:val="clear" w:color="auto" w:fill="DAE3ED" w:themeFill="text2" w:themeFillTint="33"/>
          </w:tcPr>
          <w:p w14:paraId="6528677C" w14:textId="77777777" w:rsidR="000338CE" w:rsidRPr="004D6566" w:rsidRDefault="000338CE" w:rsidP="009A1966">
            <w:pPr>
              <w:pStyle w:val="TableText"/>
              <w:keepNext/>
            </w:pPr>
          </w:p>
        </w:tc>
        <w:tc>
          <w:tcPr>
            <w:tcW w:w="0" w:type="dxa"/>
            <w:shd w:val="clear" w:color="auto" w:fill="DAE3ED" w:themeFill="text2" w:themeFillTint="33"/>
          </w:tcPr>
          <w:p w14:paraId="5A16ECFE" w14:textId="77777777" w:rsidR="000338CE" w:rsidRPr="004D6566" w:rsidRDefault="000338CE" w:rsidP="009A1966">
            <w:pPr>
              <w:pStyle w:val="TableText"/>
              <w:keepNext/>
            </w:pPr>
          </w:p>
        </w:tc>
        <w:tc>
          <w:tcPr>
            <w:tcW w:w="2162" w:type="dxa"/>
            <w:shd w:val="clear" w:color="auto" w:fill="DAE3ED" w:themeFill="text2" w:themeFillTint="33"/>
          </w:tcPr>
          <w:p w14:paraId="4FC7EAF5" w14:textId="77777777" w:rsidR="000338CE" w:rsidRPr="004D6566" w:rsidRDefault="000338CE" w:rsidP="009A1966">
            <w:pPr>
              <w:pStyle w:val="TableText"/>
              <w:keepNext/>
            </w:pPr>
          </w:p>
        </w:tc>
      </w:tr>
      <w:tr w:rsidR="000338CE" w:rsidRPr="004D6566" w14:paraId="38BA0D12" w14:textId="438D8D26" w:rsidTr="009A1966">
        <w:trPr>
          <w:jc w:val="left"/>
        </w:trPr>
        <w:tc>
          <w:tcPr>
            <w:tcW w:w="3951" w:type="dxa"/>
          </w:tcPr>
          <w:p w14:paraId="4822B139" w14:textId="05EF4F19" w:rsidR="000338CE" w:rsidRPr="004D6566" w:rsidRDefault="000338CE" w:rsidP="00524053">
            <w:pPr>
              <w:pStyle w:val="TableNumbering"/>
              <w:rPr>
                <w:b/>
                <w:sz w:val="24"/>
              </w:rPr>
            </w:pPr>
            <w:r w:rsidRPr="00FB32D9">
              <w:t xml:space="preserve">Analyzes </w:t>
            </w:r>
            <w:r w:rsidRPr="009A1966">
              <w:rPr>
                <w:b/>
              </w:rPr>
              <w:t>multiple types of data</w:t>
            </w:r>
            <w:r w:rsidRPr="00FB32D9">
              <w:t xml:space="preserve">, including the use of educator surveys and focus groups, </w:t>
            </w:r>
            <w:r>
              <w:t>to identify areas for system improvement</w:t>
            </w:r>
            <w:r w:rsidRPr="00FB32D9">
              <w:t>, refinement</w:t>
            </w:r>
            <w:r>
              <w:t>,</w:t>
            </w:r>
            <w:r w:rsidRPr="00FB32D9">
              <w:t xml:space="preserve"> and effectiveness in the field</w:t>
            </w:r>
            <w:r w:rsidRPr="004D6566">
              <w:t>.</w:t>
            </w:r>
          </w:p>
        </w:tc>
        <w:tc>
          <w:tcPr>
            <w:tcW w:w="0" w:type="dxa"/>
          </w:tcPr>
          <w:p w14:paraId="75F5B8BC" w14:textId="77777777" w:rsidR="000338CE" w:rsidRPr="004D6566" w:rsidRDefault="000338CE" w:rsidP="00103FD6">
            <w:pPr>
              <w:pStyle w:val="TableText"/>
            </w:pPr>
          </w:p>
        </w:tc>
        <w:tc>
          <w:tcPr>
            <w:tcW w:w="0" w:type="dxa"/>
          </w:tcPr>
          <w:p w14:paraId="6EBD0D1D" w14:textId="77777777" w:rsidR="000338CE" w:rsidRPr="00B63EC9" w:rsidRDefault="000338CE" w:rsidP="00103FD6">
            <w:pPr>
              <w:pStyle w:val="TableText"/>
            </w:pPr>
          </w:p>
        </w:tc>
        <w:tc>
          <w:tcPr>
            <w:tcW w:w="0" w:type="dxa"/>
          </w:tcPr>
          <w:p w14:paraId="65AD0572" w14:textId="77777777" w:rsidR="000338CE" w:rsidRPr="004D6566" w:rsidRDefault="000338CE" w:rsidP="00103FD6">
            <w:pPr>
              <w:pStyle w:val="TableText"/>
            </w:pPr>
          </w:p>
        </w:tc>
        <w:tc>
          <w:tcPr>
            <w:tcW w:w="0" w:type="dxa"/>
          </w:tcPr>
          <w:p w14:paraId="39B6E69E" w14:textId="77777777" w:rsidR="000338CE" w:rsidRPr="004D6566" w:rsidRDefault="000338CE" w:rsidP="00103FD6">
            <w:pPr>
              <w:pStyle w:val="TableText"/>
            </w:pPr>
          </w:p>
        </w:tc>
        <w:tc>
          <w:tcPr>
            <w:tcW w:w="2162" w:type="dxa"/>
          </w:tcPr>
          <w:p w14:paraId="286CC3F9" w14:textId="77777777" w:rsidR="000338CE" w:rsidRPr="004D6566" w:rsidRDefault="000338CE" w:rsidP="00103FD6">
            <w:pPr>
              <w:pStyle w:val="TableText"/>
            </w:pPr>
          </w:p>
        </w:tc>
      </w:tr>
      <w:tr w:rsidR="000338CE" w:rsidRPr="004D6566" w14:paraId="241BDA72" w14:textId="6FA6E0C6" w:rsidTr="009A1966">
        <w:trPr>
          <w:jc w:val="left"/>
        </w:trPr>
        <w:tc>
          <w:tcPr>
            <w:tcW w:w="3951" w:type="dxa"/>
          </w:tcPr>
          <w:p w14:paraId="549444ED" w14:textId="23C10B70" w:rsidR="000338CE" w:rsidRPr="004D6566" w:rsidRDefault="000338CE" w:rsidP="00524053">
            <w:pPr>
              <w:pStyle w:val="TableNumbering"/>
            </w:pPr>
            <w:r w:rsidRPr="009A1966">
              <w:rPr>
                <w:b/>
              </w:rPr>
              <w:t>Conducts evaluation studies</w:t>
            </w:r>
            <w:r>
              <w:t xml:space="preserve"> of the evaluation system including correlation analysis and implementation fidelity at the local and school level.</w:t>
            </w:r>
          </w:p>
        </w:tc>
        <w:tc>
          <w:tcPr>
            <w:tcW w:w="0" w:type="dxa"/>
          </w:tcPr>
          <w:p w14:paraId="57252CAF" w14:textId="77777777" w:rsidR="000338CE" w:rsidRPr="004D6566" w:rsidRDefault="000338CE" w:rsidP="00103FD6">
            <w:pPr>
              <w:pStyle w:val="TableText"/>
            </w:pPr>
          </w:p>
        </w:tc>
        <w:tc>
          <w:tcPr>
            <w:tcW w:w="0" w:type="dxa"/>
          </w:tcPr>
          <w:p w14:paraId="483027B1" w14:textId="77777777" w:rsidR="000338CE" w:rsidRPr="00B63EC9" w:rsidRDefault="000338CE" w:rsidP="00103FD6">
            <w:pPr>
              <w:pStyle w:val="TableText"/>
            </w:pPr>
          </w:p>
        </w:tc>
        <w:tc>
          <w:tcPr>
            <w:tcW w:w="0" w:type="dxa"/>
          </w:tcPr>
          <w:p w14:paraId="7A6F7D46" w14:textId="77777777" w:rsidR="000338CE" w:rsidRPr="004D6566" w:rsidRDefault="000338CE" w:rsidP="00103FD6">
            <w:pPr>
              <w:pStyle w:val="TableText"/>
            </w:pPr>
          </w:p>
        </w:tc>
        <w:tc>
          <w:tcPr>
            <w:tcW w:w="0" w:type="dxa"/>
          </w:tcPr>
          <w:p w14:paraId="2225EDAD" w14:textId="77777777" w:rsidR="000338CE" w:rsidRPr="004D6566" w:rsidRDefault="000338CE" w:rsidP="00103FD6">
            <w:pPr>
              <w:pStyle w:val="TableText"/>
            </w:pPr>
          </w:p>
        </w:tc>
        <w:tc>
          <w:tcPr>
            <w:tcW w:w="2162" w:type="dxa"/>
          </w:tcPr>
          <w:p w14:paraId="700A0A68" w14:textId="77777777" w:rsidR="000338CE" w:rsidRPr="004D6566" w:rsidRDefault="000338CE" w:rsidP="00103FD6">
            <w:pPr>
              <w:pStyle w:val="TableText"/>
            </w:pPr>
          </w:p>
        </w:tc>
      </w:tr>
      <w:tr w:rsidR="000338CE" w:rsidRPr="004D6566" w14:paraId="039B2968" w14:textId="4C3E28FF" w:rsidTr="009A1966">
        <w:trPr>
          <w:jc w:val="left"/>
        </w:trPr>
        <w:tc>
          <w:tcPr>
            <w:tcW w:w="3951" w:type="dxa"/>
          </w:tcPr>
          <w:p w14:paraId="5B97FDA9" w14:textId="77777777" w:rsidR="000338CE" w:rsidRPr="004D6566" w:rsidRDefault="000338CE" w:rsidP="00524053">
            <w:pPr>
              <w:pStyle w:val="TableNumbering"/>
            </w:pPr>
            <w:r w:rsidRPr="009A1966">
              <w:rPr>
                <w:b/>
              </w:rPr>
              <w:t>Provides tools, trainings, and resources</w:t>
            </w:r>
            <w:r w:rsidRPr="00FB32D9">
              <w:t xml:space="preserve"> to increase capacity to analyze and use evaluation data to engage in continuous improvement efforts at the local level.</w:t>
            </w:r>
          </w:p>
        </w:tc>
        <w:tc>
          <w:tcPr>
            <w:tcW w:w="0" w:type="dxa"/>
          </w:tcPr>
          <w:p w14:paraId="70EB29B6" w14:textId="77777777" w:rsidR="000338CE" w:rsidRPr="004D6566" w:rsidRDefault="000338CE" w:rsidP="00103FD6">
            <w:pPr>
              <w:pStyle w:val="TableText"/>
            </w:pPr>
          </w:p>
        </w:tc>
        <w:tc>
          <w:tcPr>
            <w:tcW w:w="0" w:type="dxa"/>
          </w:tcPr>
          <w:p w14:paraId="08AC2BD9" w14:textId="77777777" w:rsidR="000338CE" w:rsidRPr="00B63EC9" w:rsidRDefault="000338CE" w:rsidP="00103FD6">
            <w:pPr>
              <w:pStyle w:val="TableText"/>
            </w:pPr>
          </w:p>
        </w:tc>
        <w:tc>
          <w:tcPr>
            <w:tcW w:w="0" w:type="dxa"/>
          </w:tcPr>
          <w:p w14:paraId="501AD9B4" w14:textId="77777777" w:rsidR="000338CE" w:rsidRPr="004D6566" w:rsidRDefault="000338CE" w:rsidP="00103FD6">
            <w:pPr>
              <w:pStyle w:val="TableText"/>
            </w:pPr>
          </w:p>
        </w:tc>
        <w:tc>
          <w:tcPr>
            <w:tcW w:w="0" w:type="dxa"/>
          </w:tcPr>
          <w:p w14:paraId="311EBF3C" w14:textId="77777777" w:rsidR="000338CE" w:rsidRPr="004D6566" w:rsidRDefault="000338CE" w:rsidP="00103FD6">
            <w:pPr>
              <w:pStyle w:val="TableText"/>
            </w:pPr>
          </w:p>
        </w:tc>
        <w:tc>
          <w:tcPr>
            <w:tcW w:w="2162" w:type="dxa"/>
          </w:tcPr>
          <w:p w14:paraId="07B7AA2A" w14:textId="77777777" w:rsidR="000338CE" w:rsidRPr="004D6566" w:rsidRDefault="000338CE" w:rsidP="00103FD6">
            <w:pPr>
              <w:pStyle w:val="TableText"/>
            </w:pPr>
          </w:p>
        </w:tc>
      </w:tr>
      <w:tr w:rsidR="000338CE" w:rsidRPr="004D6566" w14:paraId="6EF6DED7" w14:textId="2C07B379" w:rsidTr="009A1966">
        <w:trPr>
          <w:jc w:val="left"/>
        </w:trPr>
        <w:tc>
          <w:tcPr>
            <w:tcW w:w="3951" w:type="dxa"/>
            <w:shd w:val="clear" w:color="auto" w:fill="DAE3ED" w:themeFill="text2" w:themeFillTint="33"/>
          </w:tcPr>
          <w:p w14:paraId="7A6512D5" w14:textId="77777777" w:rsidR="000338CE" w:rsidRDefault="000338CE" w:rsidP="009A1966">
            <w:pPr>
              <w:pStyle w:val="TableSubheading"/>
              <w:pageBreakBefore/>
            </w:pPr>
            <w:r w:rsidRPr="00FB32D9">
              <w:lastRenderedPageBreak/>
              <w:t>Guiding Principle 4: Achieve consensus and clarity about system non-negotiables and flexibilities.</w:t>
            </w:r>
          </w:p>
          <w:p w14:paraId="47F94989" w14:textId="77777777" w:rsidR="004C7774" w:rsidRDefault="004C7774" w:rsidP="009A1966">
            <w:pPr>
              <w:pStyle w:val="TableSubheading"/>
              <w:keepNext/>
            </w:pPr>
          </w:p>
          <w:p w14:paraId="72902EA1" w14:textId="26C69107" w:rsidR="004C7774" w:rsidRPr="00FB32D9" w:rsidRDefault="004C7774" w:rsidP="00524053">
            <w:pPr>
              <w:pStyle w:val="TableSubheading"/>
            </w:pPr>
            <w:r>
              <w:t>Our talent management system:</w:t>
            </w:r>
          </w:p>
        </w:tc>
        <w:tc>
          <w:tcPr>
            <w:tcW w:w="0" w:type="dxa"/>
            <w:shd w:val="clear" w:color="auto" w:fill="DAE3ED" w:themeFill="text2" w:themeFillTint="33"/>
          </w:tcPr>
          <w:p w14:paraId="2059CB01" w14:textId="77777777" w:rsidR="000338CE" w:rsidRPr="004D6566" w:rsidRDefault="000338CE" w:rsidP="00103FD6">
            <w:pPr>
              <w:pStyle w:val="TableText"/>
            </w:pPr>
          </w:p>
        </w:tc>
        <w:tc>
          <w:tcPr>
            <w:tcW w:w="0" w:type="dxa"/>
            <w:shd w:val="clear" w:color="auto" w:fill="DAE3ED" w:themeFill="text2" w:themeFillTint="33"/>
          </w:tcPr>
          <w:p w14:paraId="2FCDAA39" w14:textId="77777777" w:rsidR="000338CE" w:rsidRPr="004D6566" w:rsidRDefault="000338CE" w:rsidP="00103FD6">
            <w:pPr>
              <w:pStyle w:val="TableText"/>
            </w:pPr>
          </w:p>
        </w:tc>
        <w:tc>
          <w:tcPr>
            <w:tcW w:w="0" w:type="dxa"/>
            <w:shd w:val="clear" w:color="auto" w:fill="DAE3ED" w:themeFill="text2" w:themeFillTint="33"/>
          </w:tcPr>
          <w:p w14:paraId="000823C7" w14:textId="77777777" w:rsidR="000338CE" w:rsidRPr="00B63EC9" w:rsidRDefault="000338CE" w:rsidP="00103FD6">
            <w:pPr>
              <w:pStyle w:val="TableText"/>
            </w:pPr>
          </w:p>
        </w:tc>
        <w:tc>
          <w:tcPr>
            <w:tcW w:w="0" w:type="dxa"/>
            <w:shd w:val="clear" w:color="auto" w:fill="DAE3ED" w:themeFill="text2" w:themeFillTint="33"/>
          </w:tcPr>
          <w:p w14:paraId="53513F51" w14:textId="77777777" w:rsidR="000338CE" w:rsidRPr="004D6566" w:rsidRDefault="000338CE" w:rsidP="00103FD6">
            <w:pPr>
              <w:pStyle w:val="TableText"/>
            </w:pPr>
          </w:p>
        </w:tc>
        <w:tc>
          <w:tcPr>
            <w:tcW w:w="2162" w:type="dxa"/>
            <w:shd w:val="clear" w:color="auto" w:fill="DAE3ED" w:themeFill="text2" w:themeFillTint="33"/>
          </w:tcPr>
          <w:p w14:paraId="3E7CF4DC" w14:textId="77777777" w:rsidR="000338CE" w:rsidRPr="004D6566" w:rsidRDefault="000338CE" w:rsidP="00103FD6">
            <w:pPr>
              <w:pStyle w:val="TableText"/>
            </w:pPr>
          </w:p>
        </w:tc>
      </w:tr>
      <w:tr w:rsidR="000338CE" w:rsidRPr="004D6566" w14:paraId="2844544B" w14:textId="5ACA75D6" w:rsidTr="009A1966">
        <w:trPr>
          <w:jc w:val="left"/>
        </w:trPr>
        <w:tc>
          <w:tcPr>
            <w:tcW w:w="3951" w:type="dxa"/>
          </w:tcPr>
          <w:p w14:paraId="0FCFD279" w14:textId="77777777" w:rsidR="000338CE" w:rsidRPr="00FB32D9" w:rsidRDefault="000338CE" w:rsidP="00524053">
            <w:pPr>
              <w:pStyle w:val="TableNumbering"/>
            </w:pPr>
            <w:r w:rsidRPr="009A1966">
              <w:rPr>
                <w:b/>
              </w:rPr>
              <w:t>Analyzes feedback from key stakeholders</w:t>
            </w:r>
            <w:r w:rsidRPr="00FB32D9">
              <w:t xml:space="preserve"> to develop non-negotiables and flexibilities that are aligned to local data and state goals.</w:t>
            </w:r>
          </w:p>
        </w:tc>
        <w:tc>
          <w:tcPr>
            <w:tcW w:w="0" w:type="dxa"/>
          </w:tcPr>
          <w:p w14:paraId="32CA22E1" w14:textId="77777777" w:rsidR="000338CE" w:rsidRPr="004D6566" w:rsidRDefault="000338CE" w:rsidP="00103FD6">
            <w:pPr>
              <w:pStyle w:val="TableText"/>
            </w:pPr>
          </w:p>
        </w:tc>
        <w:tc>
          <w:tcPr>
            <w:tcW w:w="0" w:type="dxa"/>
          </w:tcPr>
          <w:p w14:paraId="0FA8F10D" w14:textId="77777777" w:rsidR="000338CE" w:rsidRPr="004D6566" w:rsidRDefault="000338CE" w:rsidP="00103FD6">
            <w:pPr>
              <w:pStyle w:val="TableText"/>
            </w:pPr>
          </w:p>
        </w:tc>
        <w:tc>
          <w:tcPr>
            <w:tcW w:w="0" w:type="dxa"/>
          </w:tcPr>
          <w:p w14:paraId="5F3434FF" w14:textId="77777777" w:rsidR="000338CE" w:rsidRPr="00B63EC9" w:rsidRDefault="000338CE" w:rsidP="00103FD6">
            <w:pPr>
              <w:pStyle w:val="TableText"/>
            </w:pPr>
          </w:p>
        </w:tc>
        <w:tc>
          <w:tcPr>
            <w:tcW w:w="0" w:type="dxa"/>
          </w:tcPr>
          <w:p w14:paraId="70E1FA18" w14:textId="77777777" w:rsidR="000338CE" w:rsidRPr="004D6566" w:rsidRDefault="000338CE" w:rsidP="00103FD6">
            <w:pPr>
              <w:pStyle w:val="TableText"/>
            </w:pPr>
          </w:p>
        </w:tc>
        <w:tc>
          <w:tcPr>
            <w:tcW w:w="2162" w:type="dxa"/>
          </w:tcPr>
          <w:p w14:paraId="24176B62" w14:textId="77777777" w:rsidR="000338CE" w:rsidRPr="004D6566" w:rsidRDefault="000338CE" w:rsidP="00103FD6">
            <w:pPr>
              <w:pStyle w:val="TableText"/>
            </w:pPr>
          </w:p>
        </w:tc>
      </w:tr>
      <w:tr w:rsidR="000338CE" w:rsidRPr="004D6566" w14:paraId="63E8CD8D" w14:textId="317F63DF" w:rsidTr="009A1966">
        <w:trPr>
          <w:jc w:val="left"/>
        </w:trPr>
        <w:tc>
          <w:tcPr>
            <w:tcW w:w="3951" w:type="dxa"/>
          </w:tcPr>
          <w:p w14:paraId="60629889" w14:textId="77777777" w:rsidR="000338CE" w:rsidRPr="00FB32D9" w:rsidRDefault="000338CE" w:rsidP="00524053">
            <w:pPr>
              <w:pStyle w:val="TableNumbering"/>
            </w:pPr>
            <w:r w:rsidRPr="00FB32D9">
              <w:t xml:space="preserve">Clearly communicates the </w:t>
            </w:r>
            <w:r w:rsidRPr="009A1966">
              <w:rPr>
                <w:b/>
              </w:rPr>
              <w:t>rationale, definition, and allowable usage</w:t>
            </w:r>
            <w:r w:rsidRPr="00FB32D9">
              <w:t xml:space="preserve"> for the non-negotiable and flexibility items to all users.</w:t>
            </w:r>
          </w:p>
        </w:tc>
        <w:tc>
          <w:tcPr>
            <w:tcW w:w="0" w:type="dxa"/>
          </w:tcPr>
          <w:p w14:paraId="4182B110" w14:textId="77777777" w:rsidR="000338CE" w:rsidRPr="004D6566" w:rsidRDefault="000338CE" w:rsidP="00103FD6">
            <w:pPr>
              <w:pStyle w:val="TableText"/>
            </w:pPr>
          </w:p>
        </w:tc>
        <w:tc>
          <w:tcPr>
            <w:tcW w:w="0" w:type="dxa"/>
          </w:tcPr>
          <w:p w14:paraId="4DCF7EDD" w14:textId="77777777" w:rsidR="000338CE" w:rsidRPr="004D6566" w:rsidRDefault="000338CE" w:rsidP="00103FD6">
            <w:pPr>
              <w:pStyle w:val="TableText"/>
            </w:pPr>
          </w:p>
        </w:tc>
        <w:tc>
          <w:tcPr>
            <w:tcW w:w="0" w:type="dxa"/>
          </w:tcPr>
          <w:p w14:paraId="2C42CC23" w14:textId="77777777" w:rsidR="000338CE" w:rsidRPr="00B63EC9" w:rsidRDefault="000338CE" w:rsidP="00103FD6">
            <w:pPr>
              <w:pStyle w:val="TableText"/>
            </w:pPr>
          </w:p>
        </w:tc>
        <w:tc>
          <w:tcPr>
            <w:tcW w:w="0" w:type="dxa"/>
          </w:tcPr>
          <w:p w14:paraId="199E2B1E" w14:textId="77777777" w:rsidR="000338CE" w:rsidRPr="004D6566" w:rsidRDefault="000338CE" w:rsidP="00103FD6">
            <w:pPr>
              <w:pStyle w:val="TableText"/>
            </w:pPr>
          </w:p>
        </w:tc>
        <w:tc>
          <w:tcPr>
            <w:tcW w:w="2162" w:type="dxa"/>
          </w:tcPr>
          <w:p w14:paraId="7F27309C" w14:textId="77777777" w:rsidR="000338CE" w:rsidRPr="004D6566" w:rsidRDefault="000338CE" w:rsidP="00103FD6">
            <w:pPr>
              <w:pStyle w:val="TableText"/>
            </w:pPr>
          </w:p>
        </w:tc>
      </w:tr>
      <w:tr w:rsidR="000338CE" w:rsidRPr="004D6566" w14:paraId="6003D326" w14:textId="1D80BF45" w:rsidTr="009A1966">
        <w:trPr>
          <w:jc w:val="left"/>
        </w:trPr>
        <w:tc>
          <w:tcPr>
            <w:tcW w:w="3951" w:type="dxa"/>
          </w:tcPr>
          <w:p w14:paraId="75228824" w14:textId="77777777" w:rsidR="000338CE" w:rsidRPr="00FB32D9" w:rsidRDefault="000338CE" w:rsidP="00524053">
            <w:pPr>
              <w:pStyle w:val="TableNumbering"/>
            </w:pPr>
            <w:r w:rsidRPr="00FB32D9">
              <w:t xml:space="preserve">Provides support and resources for the </w:t>
            </w:r>
            <w:r w:rsidRPr="009A1966">
              <w:rPr>
                <w:b/>
              </w:rPr>
              <w:t>implementation and analysis of the non-negotiable and flexibility items</w:t>
            </w:r>
            <w:r w:rsidRPr="00FB32D9">
              <w:t xml:space="preserve"> to drive continuous improvement efforts.</w:t>
            </w:r>
          </w:p>
        </w:tc>
        <w:tc>
          <w:tcPr>
            <w:tcW w:w="0" w:type="dxa"/>
          </w:tcPr>
          <w:p w14:paraId="48CDB8D3" w14:textId="77777777" w:rsidR="000338CE" w:rsidRPr="004D6566" w:rsidRDefault="000338CE" w:rsidP="00103FD6">
            <w:pPr>
              <w:pStyle w:val="TableText"/>
            </w:pPr>
          </w:p>
        </w:tc>
        <w:tc>
          <w:tcPr>
            <w:tcW w:w="0" w:type="dxa"/>
          </w:tcPr>
          <w:p w14:paraId="17385849" w14:textId="77777777" w:rsidR="000338CE" w:rsidRPr="004D6566" w:rsidRDefault="000338CE" w:rsidP="00103FD6">
            <w:pPr>
              <w:pStyle w:val="TableText"/>
            </w:pPr>
          </w:p>
        </w:tc>
        <w:tc>
          <w:tcPr>
            <w:tcW w:w="0" w:type="dxa"/>
          </w:tcPr>
          <w:p w14:paraId="679FB5FE" w14:textId="77777777" w:rsidR="000338CE" w:rsidRPr="00B63EC9" w:rsidRDefault="000338CE" w:rsidP="00103FD6">
            <w:pPr>
              <w:pStyle w:val="TableText"/>
            </w:pPr>
          </w:p>
        </w:tc>
        <w:tc>
          <w:tcPr>
            <w:tcW w:w="0" w:type="dxa"/>
          </w:tcPr>
          <w:p w14:paraId="7515CA6E" w14:textId="77777777" w:rsidR="000338CE" w:rsidRPr="004D6566" w:rsidRDefault="000338CE" w:rsidP="00103FD6">
            <w:pPr>
              <w:pStyle w:val="TableText"/>
            </w:pPr>
          </w:p>
        </w:tc>
        <w:tc>
          <w:tcPr>
            <w:tcW w:w="2162" w:type="dxa"/>
          </w:tcPr>
          <w:p w14:paraId="6F367170" w14:textId="77777777" w:rsidR="000338CE" w:rsidRPr="004D6566" w:rsidRDefault="000338CE" w:rsidP="00103FD6">
            <w:pPr>
              <w:pStyle w:val="TableText"/>
            </w:pPr>
          </w:p>
        </w:tc>
      </w:tr>
      <w:tr w:rsidR="000338CE" w:rsidRPr="004D6566" w14:paraId="679D83A4" w14:textId="16AAB872" w:rsidTr="009A1966">
        <w:trPr>
          <w:jc w:val="left"/>
        </w:trPr>
        <w:tc>
          <w:tcPr>
            <w:tcW w:w="3951" w:type="dxa"/>
            <w:shd w:val="clear" w:color="auto" w:fill="DAE3ED" w:themeFill="text2" w:themeFillTint="33"/>
          </w:tcPr>
          <w:p w14:paraId="3483DEDA" w14:textId="77777777" w:rsidR="000338CE" w:rsidRDefault="000338CE" w:rsidP="00524053">
            <w:pPr>
              <w:pStyle w:val="TableSubheading"/>
              <w:keepNext/>
            </w:pPr>
            <w:r w:rsidRPr="00FB32D9">
              <w:lastRenderedPageBreak/>
              <w:t xml:space="preserve">Guiding Principle 5: Deprivatize the culture of teaching and feedback by making classroom practices, resources, and materials public, sharable, and storable. </w:t>
            </w:r>
          </w:p>
          <w:p w14:paraId="70DC76F2" w14:textId="77777777" w:rsidR="004C7774" w:rsidRDefault="004C7774" w:rsidP="00524053">
            <w:pPr>
              <w:pStyle w:val="TableSubheading"/>
              <w:keepNext/>
            </w:pPr>
          </w:p>
          <w:p w14:paraId="0DC835F2" w14:textId="2CBC6E78" w:rsidR="004C7774" w:rsidRPr="00FB32D9" w:rsidRDefault="004C7774" w:rsidP="00524053">
            <w:pPr>
              <w:pStyle w:val="TableSubheading"/>
              <w:keepNext/>
            </w:pPr>
            <w:r>
              <w:t>Our talent management system:</w:t>
            </w:r>
          </w:p>
        </w:tc>
        <w:tc>
          <w:tcPr>
            <w:tcW w:w="0" w:type="dxa"/>
            <w:shd w:val="clear" w:color="auto" w:fill="DAE3ED" w:themeFill="text2" w:themeFillTint="33"/>
          </w:tcPr>
          <w:p w14:paraId="54CA2FEC" w14:textId="77777777" w:rsidR="000338CE" w:rsidRPr="004D6566" w:rsidRDefault="000338CE" w:rsidP="00524053">
            <w:pPr>
              <w:pStyle w:val="TableText"/>
              <w:keepNext/>
            </w:pPr>
          </w:p>
        </w:tc>
        <w:tc>
          <w:tcPr>
            <w:tcW w:w="0" w:type="dxa"/>
            <w:shd w:val="clear" w:color="auto" w:fill="DAE3ED" w:themeFill="text2" w:themeFillTint="33"/>
          </w:tcPr>
          <w:p w14:paraId="6B9D549D" w14:textId="77777777" w:rsidR="000338CE" w:rsidRPr="004D6566" w:rsidRDefault="000338CE" w:rsidP="00524053">
            <w:pPr>
              <w:pStyle w:val="TableText"/>
              <w:keepNext/>
            </w:pPr>
          </w:p>
        </w:tc>
        <w:tc>
          <w:tcPr>
            <w:tcW w:w="0" w:type="dxa"/>
            <w:shd w:val="clear" w:color="auto" w:fill="DAE3ED" w:themeFill="text2" w:themeFillTint="33"/>
          </w:tcPr>
          <w:p w14:paraId="0DC3E9BF" w14:textId="77777777" w:rsidR="000338CE" w:rsidRPr="00B63EC9" w:rsidRDefault="000338CE" w:rsidP="00524053">
            <w:pPr>
              <w:pStyle w:val="TableText"/>
              <w:keepNext/>
            </w:pPr>
          </w:p>
        </w:tc>
        <w:tc>
          <w:tcPr>
            <w:tcW w:w="0" w:type="dxa"/>
            <w:shd w:val="clear" w:color="auto" w:fill="DAE3ED" w:themeFill="text2" w:themeFillTint="33"/>
          </w:tcPr>
          <w:p w14:paraId="2FEB0EA4" w14:textId="77777777" w:rsidR="000338CE" w:rsidRPr="004D6566" w:rsidRDefault="000338CE" w:rsidP="00524053">
            <w:pPr>
              <w:pStyle w:val="TableText"/>
              <w:keepNext/>
            </w:pPr>
          </w:p>
        </w:tc>
        <w:tc>
          <w:tcPr>
            <w:tcW w:w="2162" w:type="dxa"/>
            <w:shd w:val="clear" w:color="auto" w:fill="DAE3ED" w:themeFill="text2" w:themeFillTint="33"/>
          </w:tcPr>
          <w:p w14:paraId="2E72B07A" w14:textId="77777777" w:rsidR="000338CE" w:rsidRPr="004D6566" w:rsidRDefault="000338CE" w:rsidP="00524053">
            <w:pPr>
              <w:pStyle w:val="TableText"/>
              <w:keepNext/>
            </w:pPr>
          </w:p>
        </w:tc>
      </w:tr>
      <w:tr w:rsidR="000338CE" w:rsidRPr="004D6566" w14:paraId="40D10E29" w14:textId="00E9019B" w:rsidTr="009A1966">
        <w:trPr>
          <w:jc w:val="left"/>
        </w:trPr>
        <w:tc>
          <w:tcPr>
            <w:tcW w:w="3951" w:type="dxa"/>
          </w:tcPr>
          <w:p w14:paraId="20D01128" w14:textId="77777777" w:rsidR="000338CE" w:rsidRPr="00FB32D9" w:rsidRDefault="000338CE" w:rsidP="00524053">
            <w:pPr>
              <w:pStyle w:val="TableNumbering"/>
            </w:pPr>
            <w:r w:rsidRPr="00FB32D9">
              <w:t xml:space="preserve">Promotes the </w:t>
            </w:r>
            <w:r w:rsidRPr="009A1966">
              <w:rPr>
                <w:b/>
              </w:rPr>
              <w:t>value of the collaborative sharing</w:t>
            </w:r>
            <w:r w:rsidRPr="00FB32D9">
              <w:t xml:space="preserve"> of effective instructional practices, resources, and materials with educators.</w:t>
            </w:r>
          </w:p>
        </w:tc>
        <w:tc>
          <w:tcPr>
            <w:tcW w:w="0" w:type="dxa"/>
          </w:tcPr>
          <w:p w14:paraId="692EF88E" w14:textId="77777777" w:rsidR="000338CE" w:rsidRPr="004D6566" w:rsidRDefault="000338CE" w:rsidP="00103FD6">
            <w:pPr>
              <w:pStyle w:val="TableText"/>
            </w:pPr>
          </w:p>
        </w:tc>
        <w:tc>
          <w:tcPr>
            <w:tcW w:w="0" w:type="dxa"/>
          </w:tcPr>
          <w:p w14:paraId="4A02554C" w14:textId="77777777" w:rsidR="000338CE" w:rsidRPr="004D6566" w:rsidRDefault="000338CE" w:rsidP="00103FD6">
            <w:pPr>
              <w:pStyle w:val="TableText"/>
            </w:pPr>
          </w:p>
        </w:tc>
        <w:tc>
          <w:tcPr>
            <w:tcW w:w="0" w:type="dxa"/>
          </w:tcPr>
          <w:p w14:paraId="568F2C29" w14:textId="77777777" w:rsidR="000338CE" w:rsidRPr="00B63EC9" w:rsidRDefault="000338CE" w:rsidP="00103FD6">
            <w:pPr>
              <w:pStyle w:val="TableText"/>
            </w:pPr>
          </w:p>
        </w:tc>
        <w:tc>
          <w:tcPr>
            <w:tcW w:w="0" w:type="dxa"/>
          </w:tcPr>
          <w:p w14:paraId="4D9DFBC8" w14:textId="77777777" w:rsidR="000338CE" w:rsidRPr="004D6566" w:rsidRDefault="000338CE" w:rsidP="00103FD6">
            <w:pPr>
              <w:pStyle w:val="TableText"/>
            </w:pPr>
          </w:p>
        </w:tc>
        <w:tc>
          <w:tcPr>
            <w:tcW w:w="2162" w:type="dxa"/>
          </w:tcPr>
          <w:p w14:paraId="05EF3D27" w14:textId="77777777" w:rsidR="000338CE" w:rsidRPr="004D6566" w:rsidRDefault="000338CE" w:rsidP="00103FD6">
            <w:pPr>
              <w:pStyle w:val="TableText"/>
            </w:pPr>
          </w:p>
        </w:tc>
      </w:tr>
      <w:tr w:rsidR="000338CE" w:rsidRPr="004D6566" w14:paraId="7B67A1A3" w14:textId="4609AA3B" w:rsidTr="009A1966">
        <w:trPr>
          <w:jc w:val="left"/>
        </w:trPr>
        <w:tc>
          <w:tcPr>
            <w:tcW w:w="3951" w:type="dxa"/>
          </w:tcPr>
          <w:p w14:paraId="2F1900F4" w14:textId="77777777" w:rsidR="000338CE" w:rsidRPr="00FB32D9" w:rsidRDefault="000338CE" w:rsidP="00524053">
            <w:pPr>
              <w:pStyle w:val="TableNumbering"/>
            </w:pPr>
            <w:r w:rsidRPr="00FB32D9">
              <w:t xml:space="preserve">Provides teachers with the </w:t>
            </w:r>
            <w:r w:rsidRPr="009A1966">
              <w:rPr>
                <w:b/>
              </w:rPr>
              <w:t>time to work collaboratively and observe each other’s practices</w:t>
            </w:r>
            <w:r w:rsidRPr="00FB32D9">
              <w:t xml:space="preserve"> to refine instructional units and materials.</w:t>
            </w:r>
          </w:p>
        </w:tc>
        <w:tc>
          <w:tcPr>
            <w:tcW w:w="0" w:type="dxa"/>
          </w:tcPr>
          <w:p w14:paraId="6D46641C" w14:textId="77777777" w:rsidR="000338CE" w:rsidRPr="004D6566" w:rsidRDefault="000338CE" w:rsidP="00103FD6">
            <w:pPr>
              <w:pStyle w:val="TableText"/>
            </w:pPr>
          </w:p>
        </w:tc>
        <w:tc>
          <w:tcPr>
            <w:tcW w:w="0" w:type="dxa"/>
          </w:tcPr>
          <w:p w14:paraId="407B6D59" w14:textId="77777777" w:rsidR="000338CE" w:rsidRPr="004D6566" w:rsidRDefault="000338CE" w:rsidP="00103FD6">
            <w:pPr>
              <w:pStyle w:val="TableText"/>
            </w:pPr>
          </w:p>
        </w:tc>
        <w:tc>
          <w:tcPr>
            <w:tcW w:w="0" w:type="dxa"/>
          </w:tcPr>
          <w:p w14:paraId="5A1ECDD1" w14:textId="77777777" w:rsidR="000338CE" w:rsidRPr="00B63EC9" w:rsidRDefault="000338CE" w:rsidP="00103FD6">
            <w:pPr>
              <w:pStyle w:val="TableText"/>
            </w:pPr>
          </w:p>
        </w:tc>
        <w:tc>
          <w:tcPr>
            <w:tcW w:w="0" w:type="dxa"/>
          </w:tcPr>
          <w:p w14:paraId="6ACAA6A3" w14:textId="77777777" w:rsidR="000338CE" w:rsidRPr="004D6566" w:rsidRDefault="000338CE" w:rsidP="00103FD6">
            <w:pPr>
              <w:pStyle w:val="TableText"/>
            </w:pPr>
          </w:p>
        </w:tc>
        <w:tc>
          <w:tcPr>
            <w:tcW w:w="2162" w:type="dxa"/>
          </w:tcPr>
          <w:p w14:paraId="7BD46D15" w14:textId="77777777" w:rsidR="000338CE" w:rsidRPr="004D6566" w:rsidRDefault="000338CE" w:rsidP="00103FD6">
            <w:pPr>
              <w:pStyle w:val="TableText"/>
            </w:pPr>
          </w:p>
        </w:tc>
      </w:tr>
      <w:tr w:rsidR="000338CE" w:rsidRPr="004D6566" w14:paraId="0EF72AD7" w14:textId="1F69C2CE" w:rsidTr="009A1966">
        <w:trPr>
          <w:jc w:val="left"/>
        </w:trPr>
        <w:tc>
          <w:tcPr>
            <w:tcW w:w="3951" w:type="dxa"/>
          </w:tcPr>
          <w:p w14:paraId="51B0F61B" w14:textId="77777777" w:rsidR="000338CE" w:rsidRPr="00FB32D9" w:rsidRDefault="000338CE" w:rsidP="00524053">
            <w:pPr>
              <w:pStyle w:val="TableNumbering"/>
            </w:pPr>
            <w:r w:rsidRPr="009A1966">
              <w:rPr>
                <w:b/>
              </w:rPr>
              <w:t>Develops curated, standards-aligned resources</w:t>
            </w:r>
            <w:r w:rsidRPr="00FB32D9">
              <w:t xml:space="preserve"> for teachers to use and adapt that can be shared and stored.</w:t>
            </w:r>
          </w:p>
        </w:tc>
        <w:tc>
          <w:tcPr>
            <w:tcW w:w="0" w:type="dxa"/>
          </w:tcPr>
          <w:p w14:paraId="0CDE4872" w14:textId="77777777" w:rsidR="000338CE" w:rsidRPr="004D6566" w:rsidRDefault="000338CE" w:rsidP="00103FD6">
            <w:pPr>
              <w:pStyle w:val="TableText"/>
            </w:pPr>
          </w:p>
        </w:tc>
        <w:tc>
          <w:tcPr>
            <w:tcW w:w="0" w:type="dxa"/>
          </w:tcPr>
          <w:p w14:paraId="468E00B3" w14:textId="77777777" w:rsidR="000338CE" w:rsidRPr="004D6566" w:rsidRDefault="000338CE" w:rsidP="00103FD6">
            <w:pPr>
              <w:pStyle w:val="TableText"/>
            </w:pPr>
          </w:p>
        </w:tc>
        <w:tc>
          <w:tcPr>
            <w:tcW w:w="0" w:type="dxa"/>
          </w:tcPr>
          <w:p w14:paraId="50BDB136" w14:textId="77777777" w:rsidR="000338CE" w:rsidRPr="00B63EC9" w:rsidRDefault="000338CE" w:rsidP="00103FD6">
            <w:pPr>
              <w:pStyle w:val="TableText"/>
            </w:pPr>
          </w:p>
        </w:tc>
        <w:tc>
          <w:tcPr>
            <w:tcW w:w="0" w:type="dxa"/>
          </w:tcPr>
          <w:p w14:paraId="18444AD2" w14:textId="77777777" w:rsidR="000338CE" w:rsidRPr="004D6566" w:rsidRDefault="000338CE" w:rsidP="00103FD6">
            <w:pPr>
              <w:pStyle w:val="TableText"/>
            </w:pPr>
          </w:p>
        </w:tc>
        <w:tc>
          <w:tcPr>
            <w:tcW w:w="2162" w:type="dxa"/>
          </w:tcPr>
          <w:p w14:paraId="37631C33" w14:textId="77777777" w:rsidR="000338CE" w:rsidRPr="004D6566" w:rsidRDefault="000338CE" w:rsidP="00103FD6">
            <w:pPr>
              <w:pStyle w:val="TableText"/>
            </w:pPr>
          </w:p>
        </w:tc>
      </w:tr>
      <w:tr w:rsidR="000338CE" w:rsidRPr="004D6566" w14:paraId="3F69DC51" w14:textId="703D8F51" w:rsidTr="009A1966">
        <w:trPr>
          <w:jc w:val="left"/>
        </w:trPr>
        <w:tc>
          <w:tcPr>
            <w:tcW w:w="3951" w:type="dxa"/>
            <w:shd w:val="clear" w:color="auto" w:fill="DAE3ED" w:themeFill="text2" w:themeFillTint="33"/>
          </w:tcPr>
          <w:p w14:paraId="535749B3" w14:textId="77777777" w:rsidR="000338CE" w:rsidRDefault="000338CE" w:rsidP="009A1966">
            <w:pPr>
              <w:pStyle w:val="TableSubheading"/>
              <w:keepNext/>
            </w:pPr>
            <w:r w:rsidRPr="00FB32D9">
              <w:lastRenderedPageBreak/>
              <w:t>Guiding Principle 6: Model continuous improvement and learning in a collaborative setting.</w:t>
            </w:r>
          </w:p>
          <w:p w14:paraId="36026700" w14:textId="77777777" w:rsidR="004C7774" w:rsidRDefault="004C7774" w:rsidP="00524053">
            <w:pPr>
              <w:pStyle w:val="TableSubheading"/>
            </w:pPr>
          </w:p>
          <w:p w14:paraId="3B3337B2" w14:textId="07F4FA5C" w:rsidR="004C7774" w:rsidRPr="00FB32D9" w:rsidRDefault="004C7774" w:rsidP="00524053">
            <w:pPr>
              <w:pStyle w:val="TableSubheading"/>
            </w:pPr>
            <w:r>
              <w:t>Our talent management system:</w:t>
            </w:r>
          </w:p>
        </w:tc>
        <w:tc>
          <w:tcPr>
            <w:tcW w:w="0" w:type="dxa"/>
            <w:shd w:val="clear" w:color="auto" w:fill="DAE3ED" w:themeFill="text2" w:themeFillTint="33"/>
          </w:tcPr>
          <w:p w14:paraId="36EC8D58" w14:textId="77777777" w:rsidR="000338CE" w:rsidRPr="004D6566" w:rsidRDefault="000338CE" w:rsidP="00103FD6">
            <w:pPr>
              <w:pStyle w:val="TableText"/>
            </w:pPr>
          </w:p>
        </w:tc>
        <w:tc>
          <w:tcPr>
            <w:tcW w:w="0" w:type="dxa"/>
            <w:shd w:val="clear" w:color="auto" w:fill="DAE3ED" w:themeFill="text2" w:themeFillTint="33"/>
          </w:tcPr>
          <w:p w14:paraId="2BF72F1A" w14:textId="77777777" w:rsidR="000338CE" w:rsidRPr="004D6566" w:rsidRDefault="000338CE" w:rsidP="00103FD6">
            <w:pPr>
              <w:pStyle w:val="TableText"/>
            </w:pPr>
          </w:p>
        </w:tc>
        <w:tc>
          <w:tcPr>
            <w:tcW w:w="0" w:type="dxa"/>
            <w:shd w:val="clear" w:color="auto" w:fill="DAE3ED" w:themeFill="text2" w:themeFillTint="33"/>
          </w:tcPr>
          <w:p w14:paraId="44D6D2E2" w14:textId="77777777" w:rsidR="000338CE" w:rsidRPr="00B63EC9" w:rsidRDefault="000338CE" w:rsidP="00103FD6">
            <w:pPr>
              <w:pStyle w:val="TableText"/>
            </w:pPr>
          </w:p>
        </w:tc>
        <w:tc>
          <w:tcPr>
            <w:tcW w:w="0" w:type="dxa"/>
            <w:shd w:val="clear" w:color="auto" w:fill="DAE3ED" w:themeFill="text2" w:themeFillTint="33"/>
          </w:tcPr>
          <w:p w14:paraId="00650B29" w14:textId="77777777" w:rsidR="000338CE" w:rsidRPr="004D6566" w:rsidRDefault="000338CE" w:rsidP="00103FD6">
            <w:pPr>
              <w:pStyle w:val="TableText"/>
            </w:pPr>
          </w:p>
        </w:tc>
        <w:tc>
          <w:tcPr>
            <w:tcW w:w="2162" w:type="dxa"/>
            <w:shd w:val="clear" w:color="auto" w:fill="DAE3ED" w:themeFill="text2" w:themeFillTint="33"/>
          </w:tcPr>
          <w:p w14:paraId="04AFF883" w14:textId="77777777" w:rsidR="000338CE" w:rsidRPr="004D6566" w:rsidRDefault="000338CE" w:rsidP="00103FD6">
            <w:pPr>
              <w:pStyle w:val="TableText"/>
            </w:pPr>
          </w:p>
        </w:tc>
      </w:tr>
      <w:tr w:rsidR="000338CE" w:rsidRPr="004D6566" w14:paraId="287C5191" w14:textId="6DDD6439" w:rsidTr="009A1966">
        <w:trPr>
          <w:jc w:val="left"/>
        </w:trPr>
        <w:tc>
          <w:tcPr>
            <w:tcW w:w="3951" w:type="dxa"/>
          </w:tcPr>
          <w:p w14:paraId="5B35E0A6" w14:textId="77777777" w:rsidR="000338CE" w:rsidRPr="001745DB" w:rsidRDefault="000338CE" w:rsidP="00524053">
            <w:pPr>
              <w:pStyle w:val="TableNumbering"/>
              <w:rPr>
                <w:spacing w:val="-2"/>
              </w:rPr>
            </w:pPr>
            <w:r w:rsidRPr="001745DB">
              <w:rPr>
                <w:spacing w:val="-2"/>
              </w:rPr>
              <w:t xml:space="preserve">Models continuous improvement efforts by </w:t>
            </w:r>
            <w:r w:rsidRPr="009A1966">
              <w:rPr>
                <w:b/>
                <w:spacing w:val="-2"/>
              </w:rPr>
              <w:t>collaborating across divisions and teams</w:t>
            </w:r>
            <w:r w:rsidRPr="001745DB">
              <w:rPr>
                <w:spacing w:val="-2"/>
              </w:rPr>
              <w:t xml:space="preserve"> to improve teacher effectiveness outcomes.</w:t>
            </w:r>
          </w:p>
        </w:tc>
        <w:tc>
          <w:tcPr>
            <w:tcW w:w="0" w:type="dxa"/>
          </w:tcPr>
          <w:p w14:paraId="3CF824A2" w14:textId="77777777" w:rsidR="000338CE" w:rsidRPr="004D6566" w:rsidRDefault="000338CE" w:rsidP="00103FD6">
            <w:pPr>
              <w:pStyle w:val="TableText"/>
            </w:pPr>
          </w:p>
        </w:tc>
        <w:tc>
          <w:tcPr>
            <w:tcW w:w="0" w:type="dxa"/>
          </w:tcPr>
          <w:p w14:paraId="16A23D03" w14:textId="77777777" w:rsidR="000338CE" w:rsidRPr="004D6566" w:rsidRDefault="000338CE" w:rsidP="00103FD6">
            <w:pPr>
              <w:pStyle w:val="TableText"/>
            </w:pPr>
          </w:p>
        </w:tc>
        <w:tc>
          <w:tcPr>
            <w:tcW w:w="0" w:type="dxa"/>
          </w:tcPr>
          <w:p w14:paraId="690B4D9E" w14:textId="77777777" w:rsidR="000338CE" w:rsidRPr="00B63EC9" w:rsidRDefault="000338CE" w:rsidP="00103FD6">
            <w:pPr>
              <w:pStyle w:val="TableText"/>
            </w:pPr>
          </w:p>
        </w:tc>
        <w:tc>
          <w:tcPr>
            <w:tcW w:w="0" w:type="dxa"/>
          </w:tcPr>
          <w:p w14:paraId="71AD82B5" w14:textId="77777777" w:rsidR="000338CE" w:rsidRPr="004D6566" w:rsidRDefault="000338CE" w:rsidP="00103FD6">
            <w:pPr>
              <w:pStyle w:val="TableText"/>
            </w:pPr>
          </w:p>
        </w:tc>
        <w:tc>
          <w:tcPr>
            <w:tcW w:w="2162" w:type="dxa"/>
          </w:tcPr>
          <w:p w14:paraId="615AC61B" w14:textId="77777777" w:rsidR="000338CE" w:rsidRPr="004D6566" w:rsidRDefault="000338CE" w:rsidP="00103FD6">
            <w:pPr>
              <w:pStyle w:val="TableText"/>
            </w:pPr>
          </w:p>
        </w:tc>
      </w:tr>
      <w:tr w:rsidR="000338CE" w:rsidRPr="004D6566" w14:paraId="10AA12C8" w14:textId="726EED1F" w:rsidTr="009A1966">
        <w:trPr>
          <w:jc w:val="left"/>
        </w:trPr>
        <w:tc>
          <w:tcPr>
            <w:tcW w:w="3951" w:type="dxa"/>
          </w:tcPr>
          <w:p w14:paraId="4451EC3C" w14:textId="77777777" w:rsidR="000338CE" w:rsidRPr="00FB32D9" w:rsidRDefault="000338CE" w:rsidP="00524053">
            <w:pPr>
              <w:pStyle w:val="TableNumbering"/>
            </w:pPr>
            <w:r w:rsidRPr="009A1966">
              <w:rPr>
                <w:b/>
              </w:rPr>
              <w:t>Develops transparent and multiple checkpoints</w:t>
            </w:r>
            <w:r w:rsidRPr="00FB32D9">
              <w:t xml:space="preserve"> during the school year to reflect on short-term outcomes and to use formative results to drive improvement.</w:t>
            </w:r>
          </w:p>
        </w:tc>
        <w:tc>
          <w:tcPr>
            <w:tcW w:w="0" w:type="dxa"/>
          </w:tcPr>
          <w:p w14:paraId="15E09B5B" w14:textId="77777777" w:rsidR="000338CE" w:rsidRPr="004D6566" w:rsidRDefault="000338CE" w:rsidP="00103FD6">
            <w:pPr>
              <w:pStyle w:val="TableText"/>
            </w:pPr>
          </w:p>
        </w:tc>
        <w:tc>
          <w:tcPr>
            <w:tcW w:w="0" w:type="dxa"/>
          </w:tcPr>
          <w:p w14:paraId="64B4B890" w14:textId="77777777" w:rsidR="000338CE" w:rsidRPr="004D6566" w:rsidRDefault="000338CE" w:rsidP="00103FD6">
            <w:pPr>
              <w:pStyle w:val="TableText"/>
            </w:pPr>
          </w:p>
        </w:tc>
        <w:tc>
          <w:tcPr>
            <w:tcW w:w="0" w:type="dxa"/>
          </w:tcPr>
          <w:p w14:paraId="04196999" w14:textId="77777777" w:rsidR="000338CE" w:rsidRPr="00B63EC9" w:rsidRDefault="000338CE" w:rsidP="00103FD6">
            <w:pPr>
              <w:pStyle w:val="TableText"/>
            </w:pPr>
          </w:p>
        </w:tc>
        <w:tc>
          <w:tcPr>
            <w:tcW w:w="0" w:type="dxa"/>
          </w:tcPr>
          <w:p w14:paraId="5DF4BAAB" w14:textId="77777777" w:rsidR="000338CE" w:rsidRPr="004D6566" w:rsidRDefault="000338CE" w:rsidP="00103FD6">
            <w:pPr>
              <w:pStyle w:val="TableText"/>
            </w:pPr>
          </w:p>
        </w:tc>
        <w:tc>
          <w:tcPr>
            <w:tcW w:w="2162" w:type="dxa"/>
          </w:tcPr>
          <w:p w14:paraId="248BAD02" w14:textId="77777777" w:rsidR="000338CE" w:rsidRPr="004D6566" w:rsidRDefault="000338CE" w:rsidP="00103FD6">
            <w:pPr>
              <w:pStyle w:val="TableText"/>
            </w:pPr>
          </w:p>
        </w:tc>
      </w:tr>
      <w:tr w:rsidR="000338CE" w:rsidRPr="004D6566" w14:paraId="75546152" w14:textId="1D78EB30" w:rsidTr="009A1966">
        <w:trPr>
          <w:jc w:val="left"/>
        </w:trPr>
        <w:tc>
          <w:tcPr>
            <w:tcW w:w="3951" w:type="dxa"/>
          </w:tcPr>
          <w:p w14:paraId="679F4245" w14:textId="77777777" w:rsidR="000338CE" w:rsidRPr="001745DB" w:rsidRDefault="000338CE" w:rsidP="00524053">
            <w:pPr>
              <w:pStyle w:val="TableNumbering"/>
              <w:rPr>
                <w:spacing w:val="-4"/>
              </w:rPr>
            </w:pPr>
            <w:r w:rsidRPr="001745DB">
              <w:rPr>
                <w:spacing w:val="-4"/>
              </w:rPr>
              <w:t xml:space="preserve">Analyzes, and revises if necessary, </w:t>
            </w:r>
            <w:r w:rsidRPr="009A1966">
              <w:rPr>
                <w:b/>
                <w:spacing w:val="-4"/>
              </w:rPr>
              <w:t>long-term outcomes</w:t>
            </w:r>
            <w:r w:rsidRPr="001745DB">
              <w:rPr>
                <w:spacing w:val="-4"/>
              </w:rPr>
              <w:t xml:space="preserve"> to ensure that all students have equitable access to effective teachers.</w:t>
            </w:r>
          </w:p>
        </w:tc>
        <w:tc>
          <w:tcPr>
            <w:tcW w:w="0" w:type="dxa"/>
          </w:tcPr>
          <w:p w14:paraId="63BE3312" w14:textId="77777777" w:rsidR="000338CE" w:rsidRPr="004D6566" w:rsidRDefault="000338CE" w:rsidP="00103FD6">
            <w:pPr>
              <w:pStyle w:val="TableText"/>
            </w:pPr>
          </w:p>
        </w:tc>
        <w:tc>
          <w:tcPr>
            <w:tcW w:w="0" w:type="dxa"/>
          </w:tcPr>
          <w:p w14:paraId="12BA29DC" w14:textId="77777777" w:rsidR="000338CE" w:rsidRPr="004D6566" w:rsidRDefault="000338CE" w:rsidP="00103FD6">
            <w:pPr>
              <w:pStyle w:val="TableText"/>
            </w:pPr>
          </w:p>
        </w:tc>
        <w:tc>
          <w:tcPr>
            <w:tcW w:w="0" w:type="dxa"/>
          </w:tcPr>
          <w:p w14:paraId="0AE49B1E" w14:textId="77777777" w:rsidR="000338CE" w:rsidRPr="00B63EC9" w:rsidRDefault="000338CE" w:rsidP="00103FD6">
            <w:pPr>
              <w:pStyle w:val="TableText"/>
            </w:pPr>
          </w:p>
        </w:tc>
        <w:tc>
          <w:tcPr>
            <w:tcW w:w="0" w:type="dxa"/>
          </w:tcPr>
          <w:p w14:paraId="7F1F783B" w14:textId="77777777" w:rsidR="000338CE" w:rsidRPr="004D6566" w:rsidRDefault="000338CE" w:rsidP="00103FD6">
            <w:pPr>
              <w:pStyle w:val="TableText"/>
            </w:pPr>
          </w:p>
        </w:tc>
        <w:tc>
          <w:tcPr>
            <w:tcW w:w="2162" w:type="dxa"/>
          </w:tcPr>
          <w:p w14:paraId="42E35286" w14:textId="77777777" w:rsidR="000338CE" w:rsidRPr="004D6566" w:rsidRDefault="000338CE" w:rsidP="00103FD6">
            <w:pPr>
              <w:pStyle w:val="TableText"/>
            </w:pPr>
          </w:p>
        </w:tc>
      </w:tr>
    </w:tbl>
    <w:p w14:paraId="41268A97" w14:textId="77777777" w:rsidR="00524053" w:rsidRDefault="00524053" w:rsidP="00524053">
      <w:pPr>
        <w:pStyle w:val="Heading2"/>
      </w:pPr>
      <w:r>
        <w:br w:type="page"/>
      </w:r>
    </w:p>
    <w:p w14:paraId="7E9F89CF" w14:textId="77777777" w:rsidR="00103FD6" w:rsidRPr="00524053" w:rsidRDefault="00103FD6" w:rsidP="00524053">
      <w:pPr>
        <w:pStyle w:val="Heading2"/>
        <w:rPr>
          <w:sz w:val="20"/>
          <w:szCs w:val="20"/>
        </w:rPr>
      </w:pPr>
      <w:r w:rsidRPr="004D6566">
        <w:lastRenderedPageBreak/>
        <w:t>Reflection</w:t>
      </w:r>
      <w:r>
        <w:t xml:space="preserve"> Questions</w:t>
      </w:r>
    </w:p>
    <w:p w14:paraId="4976CAED" w14:textId="2169FB11" w:rsidR="00103FD6" w:rsidRPr="00FB32D9" w:rsidRDefault="00103FD6" w:rsidP="00524053">
      <w:pPr>
        <w:pStyle w:val="BodyText"/>
      </w:pPr>
      <w:r w:rsidRPr="004D6566">
        <w:rPr>
          <w:b/>
        </w:rPr>
        <w:t>Instructions:</w:t>
      </w:r>
      <w:r>
        <w:rPr>
          <w:b/>
        </w:rPr>
        <w:t xml:space="preserve"> </w:t>
      </w:r>
      <w:r>
        <w:t>In your team, review the overall results from the system assessment and discuss the following reflection questions. Use the questions and system assessment results to identify which guiding principle(s) may be the most appropriate entry point to begin considerations for continuously improving your educator evaluation and professional growth system.</w:t>
      </w:r>
    </w:p>
    <w:p w14:paraId="6D53C255" w14:textId="77777777" w:rsidR="00103FD6" w:rsidRDefault="00103FD6" w:rsidP="00524053">
      <w:pPr>
        <w:pStyle w:val="NumberedList"/>
        <w:rPr>
          <w:u w:val="single"/>
        </w:rPr>
      </w:pPr>
      <w:r w:rsidRPr="00B63EC9">
        <w:t xml:space="preserve">Which readiness to pursue </w:t>
      </w:r>
      <w:r w:rsidRPr="00FB32D9">
        <w:t>strategies</w:t>
      </w:r>
      <w:r w:rsidRPr="004D6566">
        <w:t xml:space="preserve"> affirm the strengths of your educator effectiveness system? Explain.</w:t>
      </w:r>
    </w:p>
    <w:p w14:paraId="415327B9" w14:textId="77777777" w:rsidR="00103FD6" w:rsidRDefault="00103FD6" w:rsidP="00524053">
      <w:pPr>
        <w:pStyle w:val="NumberedList"/>
        <w:rPr>
          <w:u w:val="single"/>
        </w:rPr>
      </w:pPr>
      <w:r w:rsidRPr="00B63EC9">
        <w:t xml:space="preserve">Which readiness to pursue </w:t>
      </w:r>
      <w:r w:rsidRPr="00FB32D9">
        <w:t>strategies</w:t>
      </w:r>
      <w:r w:rsidRPr="004D6566">
        <w:t xml:space="preserve"> illuminate the areas of growth of your educator effectiveness system? Explain.</w:t>
      </w:r>
    </w:p>
    <w:p w14:paraId="2E27ACF7" w14:textId="79D17266" w:rsidR="00103FD6" w:rsidRDefault="00103FD6" w:rsidP="00524053">
      <w:pPr>
        <w:pStyle w:val="NumberedList"/>
        <w:rPr>
          <w:u w:val="single"/>
        </w:rPr>
      </w:pPr>
      <w:r>
        <w:t>Are there readiness to pursue strategies or strengths of your educator effectiveness system that you can build upon to refine or continuously improve your system?</w:t>
      </w:r>
    </w:p>
    <w:p w14:paraId="43234185" w14:textId="731E9EE0" w:rsidR="00103FD6" w:rsidRDefault="00103FD6" w:rsidP="00524053">
      <w:pPr>
        <w:pStyle w:val="NumberedList"/>
        <w:rPr>
          <w:u w:val="single"/>
        </w:rPr>
      </w:pPr>
      <w:r>
        <w:t xml:space="preserve">Are there readiness to pursue strategies or areas of growth of your educator effectiveness system that you believe should be the focus of your state or district’s continuous improvement efforts? If so, why, and what strategies would you need to implement to improve to “performing” or “transforming?” </w:t>
      </w:r>
    </w:p>
    <w:p w14:paraId="3A95513A" w14:textId="1674FB2E" w:rsidR="00103FD6" w:rsidRPr="004D6566" w:rsidRDefault="00103FD6" w:rsidP="00524053">
      <w:pPr>
        <w:pStyle w:val="NumberedList"/>
        <w:rPr>
          <w:u w:val="single"/>
        </w:rPr>
      </w:pPr>
      <w:r w:rsidRPr="00B63EC9">
        <w:t xml:space="preserve">How do the </w:t>
      </w:r>
      <w:r w:rsidRPr="004D6566">
        <w:t>overall results impact your thinking about implementing and/or refining educator effectiveness strategies in the next</w:t>
      </w:r>
      <w:r>
        <w:t xml:space="preserve"> 3</w:t>
      </w:r>
      <w:r w:rsidRPr="00FB32D9">
        <w:t xml:space="preserve">, </w:t>
      </w:r>
      <w:r>
        <w:t>6</w:t>
      </w:r>
      <w:r w:rsidRPr="00FB32D9">
        <w:t xml:space="preserve">, and </w:t>
      </w:r>
      <w:r>
        <w:t xml:space="preserve">12 </w:t>
      </w:r>
      <w:r w:rsidRPr="00FB32D9">
        <w:t>months</w:t>
      </w:r>
      <w:r w:rsidRPr="004D6566">
        <w:t xml:space="preserve">? Explain. </w:t>
      </w:r>
    </w:p>
    <w:sectPr w:rsidR="00103FD6" w:rsidRPr="004D6566" w:rsidSect="00DC14DD">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9B6FB" w14:textId="77777777" w:rsidR="007345ED" w:rsidRDefault="007345ED" w:rsidP="009813D0">
      <w:r>
        <w:separator/>
      </w:r>
    </w:p>
  </w:endnote>
  <w:endnote w:type="continuationSeparator" w:id="0">
    <w:p w14:paraId="4B177C9A" w14:textId="77777777" w:rsidR="007345ED" w:rsidRDefault="007345ED"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8A21" w14:textId="3FC2DFC5" w:rsidR="009813D0" w:rsidRPr="003C1B87" w:rsidRDefault="00514231" w:rsidP="00BD7964">
    <w:pPr>
      <w:pStyle w:val="Footer"/>
    </w:pPr>
    <w:r w:rsidRPr="00514231">
      <w:t>Center on Great Teachers and Leaders</w:t>
    </w:r>
    <w:r w:rsidR="003C1B87" w:rsidRPr="003C1B87">
      <w:t xml:space="preserve"> </w:t>
    </w:r>
    <w:r w:rsidR="003C1B87" w:rsidRPr="003C1B87">
      <w:ptab w:relativeTo="margin" w:alignment="right" w:leader="none"/>
    </w:r>
    <w:r w:rsidR="00103FD6" w:rsidRPr="00103FD6">
      <w:t>Educator Effectiveness Systems Assessment</w:t>
    </w:r>
    <w:r w:rsidR="003C1B87" w:rsidRPr="003C1B87">
      <w:t>—</w:t>
    </w:r>
    <w:r w:rsidR="003C1B87" w:rsidRPr="003C1B87">
      <w:fldChar w:fldCharType="begin"/>
    </w:r>
    <w:r w:rsidR="003C1B87" w:rsidRPr="003C1B87">
      <w:instrText xml:space="preserve"> PAGE   \* MERGEFORMAT </w:instrText>
    </w:r>
    <w:r w:rsidR="003C1B87" w:rsidRPr="003C1B87">
      <w:fldChar w:fldCharType="separate"/>
    </w:r>
    <w:r w:rsidR="00100C6D">
      <w:rPr>
        <w:noProof/>
      </w:rPr>
      <w:t>3</w:t>
    </w:r>
    <w:r w:rsidR="003C1B87" w:rsidRPr="003C1B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C662" w14:textId="77777777" w:rsidR="00BD7964" w:rsidRPr="004E0CF9" w:rsidRDefault="00BD7964" w:rsidP="00BD7964">
    <w:pPr>
      <w:spacing w:before="120"/>
      <w:rPr>
        <w:rFonts w:ascii="Times New Roman" w:eastAsia="Times New Roman" w:hAnsi="Times New Roman" w:cs="Times New Roman"/>
        <w:sz w:val="20"/>
        <w:szCs w:val="20"/>
      </w:rPr>
    </w:pPr>
  </w:p>
  <w:p w14:paraId="435666F5" w14:textId="77777777" w:rsidR="00BD7964" w:rsidRPr="00AC43E1" w:rsidRDefault="00BD7964" w:rsidP="00BD7964">
    <w:pPr>
      <w:pStyle w:val="Footer"/>
    </w:pPr>
    <w:r w:rsidRPr="00AC43E1">
      <w:rPr>
        <w:rFonts w:eastAsia="Times New Roman"/>
      </w:rPr>
      <w:t xml:space="preserve">Copyright © </w:t>
    </w:r>
    <w:r w:rsidR="00103FD6">
      <w:rPr>
        <w:rFonts w:eastAsia="Times New Roman"/>
      </w:rPr>
      <w:t>2019</w:t>
    </w:r>
    <w:r w:rsidRPr="00AC43E1">
      <w:rPr>
        <w:rFonts w:eastAsia="Times New Roman"/>
      </w:rPr>
      <w:t xml:space="preserve"> American </w:t>
    </w:r>
    <w:r w:rsidRPr="00AC43E1">
      <w:t xml:space="preserve">Institutes for Research. All rights reserved. </w:t>
    </w:r>
    <w:r w:rsidRPr="00AC43E1">
      <w:tab/>
    </w:r>
    <w:r w:rsidR="00103FD6" w:rsidRPr="00103FD6">
      <w:t>Educator Effectiveness Systems Assessment</w:t>
    </w:r>
    <w:r w:rsidRPr="00AC43E1">
      <w:t>—</w:t>
    </w:r>
    <w:r w:rsidRPr="00AC43E1">
      <w:fldChar w:fldCharType="begin"/>
    </w:r>
    <w:r w:rsidRPr="00AC43E1">
      <w:instrText xml:space="preserve"> PAGE   \* MERGEFORMAT </w:instrText>
    </w:r>
    <w:r w:rsidRPr="00AC43E1">
      <w:fldChar w:fldCharType="separate"/>
    </w:r>
    <w:r>
      <w:t>1</w:t>
    </w:r>
    <w:r w:rsidRPr="00AC43E1">
      <w:fldChar w:fldCharType="end"/>
    </w:r>
  </w:p>
  <w:p w14:paraId="64B8982C" w14:textId="77777777" w:rsidR="00BD7964" w:rsidRPr="00AC43E1" w:rsidRDefault="00BD7964" w:rsidP="00BD7964">
    <w:pPr>
      <w:pStyle w:val="Footer"/>
    </w:pPr>
    <w:r w:rsidRPr="00AC43E1">
      <w:t>This work was originally produced in whole or in part by the Center on Great Teachers and Leaders with funds from the U.S. Department of Education under cooperative agreement number S283B120021. The content does not necessarily reflect the position or policy of the Department of Education,</w:t>
    </w:r>
    <w:r w:rsidR="00103FD6">
      <w:t xml:space="preserve"> </w:t>
    </w:r>
    <w:r w:rsidRPr="00AC43E1">
      <w:t>nor does mention or visual representation of trade names, commercial products, or organizations imply endorsement by the federal government.</w:t>
    </w:r>
  </w:p>
  <w:p w14:paraId="18B2C1A7" w14:textId="20D4DC05" w:rsidR="00BD7964" w:rsidRDefault="00BD7964" w:rsidP="00BD7964">
    <w:pPr>
      <w:pStyle w:val="Footer"/>
    </w:pPr>
    <w:r w:rsidRPr="00AC43E1">
      <w:t>The Center on Great Teachers</w:t>
    </w:r>
    <w:r w:rsidRPr="00AC43E1">
      <w:rPr>
        <w:rFonts w:eastAsia="Times New Roman"/>
      </w:rPr>
      <w:t xml:space="preserve"> and Leaders is administered by the American Institutes for Research and its partners: </w:t>
    </w:r>
    <w:r w:rsidR="001E2EF4">
      <w:rPr>
        <w:rFonts w:eastAsia="Times New Roman"/>
      </w:rPr>
      <w:t>T</w:t>
    </w:r>
    <w:r w:rsidRPr="00AC43E1">
      <w:rPr>
        <w:rFonts w:eastAsia="Times New Roman"/>
      </w:rPr>
      <w:t xml:space="preserve">he Council of Chief State School Officers and Public Impact. </w:t>
    </w:r>
    <w:r w:rsidRPr="00AC43E1">
      <w:tab/>
    </w:r>
    <w:r w:rsidR="00103FD6">
      <w:rPr>
        <w:rStyle w:val="CoverPubIDChar"/>
      </w:rPr>
      <w:t>6975_01/19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C084" w14:textId="77777777" w:rsidR="007345ED" w:rsidRDefault="007345ED" w:rsidP="009813D0">
      <w:r>
        <w:separator/>
      </w:r>
    </w:p>
  </w:footnote>
  <w:footnote w:type="continuationSeparator" w:id="0">
    <w:p w14:paraId="410F6AF5" w14:textId="77777777" w:rsidR="007345ED" w:rsidRDefault="007345ED" w:rsidP="009813D0">
      <w:r>
        <w:continuationSeparator/>
      </w:r>
    </w:p>
  </w:footnote>
  <w:footnote w:id="1">
    <w:p w14:paraId="4DB9B34C" w14:textId="6B5CBF21" w:rsidR="00C7654A" w:rsidRDefault="00C7654A">
      <w:pPr>
        <w:pStyle w:val="FootnoteText"/>
      </w:pPr>
      <w:r>
        <w:rPr>
          <w:rStyle w:val="FootnoteReference"/>
        </w:rPr>
        <w:footnoteRef/>
      </w:r>
      <w:r>
        <w:t xml:space="preserve"> Readiness to pursue strategies adapted from the National Implementation Research Network’s four implementation stages found at </w:t>
      </w:r>
      <w:r w:rsidRPr="00C7654A">
        <w:t>https://nirn.fpg.unc.edu/learn-implementation/implementation-stages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40080" w14:textId="63C76565" w:rsidR="00F157A5" w:rsidRPr="00D745CF" w:rsidRDefault="00D5427F" w:rsidP="00FA54A6">
    <w:pPr>
      <w:pStyle w:val="Header"/>
      <w:spacing w:before="1080"/>
    </w:pPr>
    <w:r>
      <w:rPr>
        <w:noProof/>
      </w:rPr>
      <w:drawing>
        <wp:anchor distT="0" distB="0" distL="114300" distR="114300" simplePos="0" relativeHeight="251658240" behindDoc="0" locked="0" layoutInCell="1" allowOverlap="1" wp14:anchorId="7389AF1A" wp14:editId="3D64FF67">
          <wp:simplePos x="0" y="0"/>
          <wp:positionH relativeFrom="column">
            <wp:posOffset>4654550</wp:posOffset>
          </wp:positionH>
          <wp:positionV relativeFrom="paragraph">
            <wp:posOffset>-128080</wp:posOffset>
          </wp:positionV>
          <wp:extent cx="1769110" cy="648970"/>
          <wp:effectExtent l="0" t="0" r="2540" b="0"/>
          <wp:wrapThrough wrapText="bothSides">
            <wp:wrapPolygon edited="0">
              <wp:start x="0" y="0"/>
              <wp:lineTo x="0" y="20924"/>
              <wp:lineTo x="21398" y="20924"/>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CC-atWestEd_HiRes_rgb.png"/>
                  <pic:cNvPicPr/>
                </pic:nvPicPr>
                <pic:blipFill>
                  <a:blip r:embed="rId1">
                    <a:extLst>
                      <a:ext uri="{28A0092B-C50C-407E-A947-70E740481C1C}">
                        <a14:useLocalDpi xmlns:a14="http://schemas.microsoft.com/office/drawing/2010/main" val="0"/>
                      </a:ext>
                    </a:extLst>
                  </a:blip>
                  <a:stretch>
                    <a:fillRect/>
                  </a:stretch>
                </pic:blipFill>
                <pic:spPr>
                  <a:xfrm>
                    <a:off x="0" y="0"/>
                    <a:ext cx="1769110" cy="648970"/>
                  </a:xfrm>
                  <a:prstGeom prst="rect">
                    <a:avLst/>
                  </a:prstGeom>
                </pic:spPr>
              </pic:pic>
            </a:graphicData>
          </a:graphic>
          <wp14:sizeRelH relativeFrom="page">
            <wp14:pctWidth>0</wp14:pctWidth>
          </wp14:sizeRelH>
          <wp14:sizeRelV relativeFrom="page">
            <wp14:pctHeight>0</wp14:pctHeight>
          </wp14:sizeRelV>
        </wp:anchor>
      </w:drawing>
    </w:r>
    <w:r w:rsidR="00DC14DD">
      <w:rPr>
        <w:noProof/>
      </w:rPr>
      <w:drawing>
        <wp:anchor distT="0" distB="0" distL="114300" distR="114300" simplePos="0" relativeHeight="251654656" behindDoc="1" locked="0" layoutInCell="0" allowOverlap="1" wp14:anchorId="039CEF7B" wp14:editId="369BF383">
          <wp:simplePos x="0" y="0"/>
          <wp:positionH relativeFrom="page">
            <wp:posOffset>0</wp:posOffset>
          </wp:positionH>
          <wp:positionV relativeFrom="page">
            <wp:posOffset>0</wp:posOffset>
          </wp:positionV>
          <wp:extent cx="100584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0584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22F0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24F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BAC3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9265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B4D7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831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20350"/>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28BAE6B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5B9C05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145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77A34"/>
    <w:multiLevelType w:val="multilevel"/>
    <w:tmpl w:val="99526938"/>
    <w:numStyleLink w:val="AIRBullet"/>
  </w:abstractNum>
  <w:abstractNum w:abstractNumId="11"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541DB"/>
    <w:multiLevelType w:val="multilevel"/>
    <w:tmpl w:val="E982CD72"/>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4"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75E31"/>
    <w:multiLevelType w:val="multilevel"/>
    <w:tmpl w:val="EB3CE3B6"/>
    <w:styleLink w:val="AIRTableNumbering"/>
    <w:lvl w:ilvl="0">
      <w:start w:val="1"/>
      <w:numFmt w:val="decimal"/>
      <w:pStyle w:val="TableNumbering"/>
      <w:lvlText w:val="%1."/>
      <w:lvlJc w:val="left"/>
      <w:pPr>
        <w:ind w:left="360"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224" w:hanging="360"/>
      </w:pPr>
      <w:rPr>
        <w:rFonts w:hint="default"/>
      </w:rPr>
    </w:lvl>
    <w:lvl w:ilvl="3">
      <w:start w:val="1"/>
      <w:numFmt w:val="decimal"/>
      <w:lvlText w:val="%4."/>
      <w:lvlJc w:val="left"/>
      <w:pPr>
        <w:ind w:left="1512"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F1524"/>
    <w:multiLevelType w:val="multilevel"/>
    <w:tmpl w:val="99526938"/>
    <w:styleLink w:val="AIRBullet"/>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3DDC4FDA"/>
    <w:multiLevelType w:val="hybridMultilevel"/>
    <w:tmpl w:val="823834A0"/>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72237"/>
    <w:multiLevelType w:val="multilevel"/>
    <w:tmpl w:val="C4B01AC6"/>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D4C14"/>
    <w:multiLevelType w:val="hybridMultilevel"/>
    <w:tmpl w:val="5C5229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B81B9B"/>
    <w:multiLevelType w:val="multilevel"/>
    <w:tmpl w:val="4D4A7D12"/>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07498"/>
    <w:multiLevelType w:val="multilevel"/>
    <w:tmpl w:val="A792F888"/>
    <w:styleLink w:val="AIRTableBullet"/>
    <w:lvl w:ilvl="0">
      <w:start w:val="1"/>
      <w:numFmt w:val="bullet"/>
      <w:pStyle w:val="TableBullet1"/>
      <w:lvlText w:val=""/>
      <w:lvlJc w:val="left"/>
      <w:pPr>
        <w:ind w:left="360" w:hanging="288"/>
      </w:pPr>
      <w:rPr>
        <w:rFonts w:ascii="Wingdings" w:hAnsi="Wingdings" w:hint="default"/>
        <w:color w:val="auto"/>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o"/>
      <w:lvlJc w:val="left"/>
      <w:pPr>
        <w:ind w:left="936" w:hanging="288"/>
      </w:pPr>
      <w:rPr>
        <w:rFonts w:ascii="Courier New" w:hAnsi="Courier New"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E305C5"/>
    <w:multiLevelType w:val="hybridMultilevel"/>
    <w:tmpl w:val="88CA1A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23E00"/>
    <w:multiLevelType w:val="hybridMultilevel"/>
    <w:tmpl w:val="84309C46"/>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24AED"/>
    <w:multiLevelType w:val="hybridMultilevel"/>
    <w:tmpl w:val="D2545E34"/>
    <w:lvl w:ilvl="0" w:tplc="1946174C">
      <w:start w:val="1"/>
      <w:numFmt w:val="bullet"/>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27045"/>
    <w:multiLevelType w:val="hybridMultilevel"/>
    <w:tmpl w:val="8EBA0A5A"/>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25"/>
  </w:num>
  <w:num w:numId="14">
    <w:abstractNumId w:val="14"/>
  </w:num>
  <w:num w:numId="15">
    <w:abstractNumId w:val="28"/>
  </w:num>
  <w:num w:numId="16">
    <w:abstractNumId w:val="19"/>
  </w:num>
  <w:num w:numId="17">
    <w:abstractNumId w:val="20"/>
  </w:num>
  <w:num w:numId="18">
    <w:abstractNumId w:val="29"/>
  </w:num>
  <w:num w:numId="19">
    <w:abstractNumId w:val="12"/>
  </w:num>
  <w:num w:numId="20">
    <w:abstractNumId w:val="29"/>
    <w:lvlOverride w:ilvl="0">
      <w:startOverride w:val="1"/>
    </w:lvlOverride>
  </w:num>
  <w:num w:numId="21">
    <w:abstractNumId w:val="30"/>
  </w:num>
  <w:num w:numId="22">
    <w:abstractNumId w:val="31"/>
  </w:num>
  <w:num w:numId="23">
    <w:abstractNumId w:val="21"/>
  </w:num>
  <w:num w:numId="24">
    <w:abstractNumId w:val="23"/>
  </w:num>
  <w:num w:numId="25">
    <w:abstractNumId w:val="27"/>
  </w:num>
  <w:num w:numId="26">
    <w:abstractNumId w:val="18"/>
  </w:num>
  <w:num w:numId="27">
    <w:abstractNumId w:val="32"/>
  </w:num>
  <w:num w:numId="28">
    <w:abstractNumId w:val="17"/>
  </w:num>
  <w:num w:numId="29">
    <w:abstractNumId w:val="13"/>
  </w:num>
  <w:num w:numId="30">
    <w:abstractNumId w:val="24"/>
  </w:num>
  <w:num w:numId="31">
    <w:abstractNumId w:val="15"/>
  </w:num>
  <w:num w:numId="32">
    <w:abstractNumId w:val="10"/>
  </w:num>
  <w:num w:numId="33">
    <w:abstractNumId w:val="10"/>
  </w:num>
  <w:num w:numId="34">
    <w:abstractNumId w:val="10"/>
  </w:num>
  <w:num w:numId="35">
    <w:abstractNumId w:val="13"/>
  </w:num>
  <w:num w:numId="36">
    <w:abstractNumId w:val="24"/>
  </w:num>
  <w:num w:numId="37">
    <w:abstractNumId w:val="24"/>
  </w:num>
  <w:num w:numId="38">
    <w:abstractNumId w:val="15"/>
    <w:lvlOverride w:ilvl="0">
      <w:lvl w:ilvl="0">
        <w:start w:val="1"/>
        <w:numFmt w:val="decimal"/>
        <w:pStyle w:val="TableNumbering"/>
        <w:lvlText w:val="%1."/>
        <w:lvlJc w:val="left"/>
        <w:pPr>
          <w:ind w:left="360" w:hanging="288"/>
        </w:pPr>
        <w:rPr>
          <w:rFonts w:hint="default"/>
          <w:b w:val="0"/>
        </w:rPr>
      </w:lvl>
    </w:lvlOverride>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C6"/>
    <w:rsid w:val="000308BC"/>
    <w:rsid w:val="000338CE"/>
    <w:rsid w:val="00033D05"/>
    <w:rsid w:val="00043156"/>
    <w:rsid w:val="00046092"/>
    <w:rsid w:val="000541FF"/>
    <w:rsid w:val="000741E6"/>
    <w:rsid w:val="00084C09"/>
    <w:rsid w:val="00084DD8"/>
    <w:rsid w:val="000D3209"/>
    <w:rsid w:val="000F59CA"/>
    <w:rsid w:val="00100C6D"/>
    <w:rsid w:val="00103FD6"/>
    <w:rsid w:val="00114BAC"/>
    <w:rsid w:val="00141D25"/>
    <w:rsid w:val="001745DB"/>
    <w:rsid w:val="0018296E"/>
    <w:rsid w:val="001A5EDC"/>
    <w:rsid w:val="001B1D9C"/>
    <w:rsid w:val="001D51AD"/>
    <w:rsid w:val="001E2EF4"/>
    <w:rsid w:val="001F6FCC"/>
    <w:rsid w:val="002127F9"/>
    <w:rsid w:val="00250010"/>
    <w:rsid w:val="00251A5A"/>
    <w:rsid w:val="002A7E40"/>
    <w:rsid w:val="002B746B"/>
    <w:rsid w:val="002D47BE"/>
    <w:rsid w:val="002E70C6"/>
    <w:rsid w:val="002F23EC"/>
    <w:rsid w:val="00312AB0"/>
    <w:rsid w:val="00365207"/>
    <w:rsid w:val="003C091E"/>
    <w:rsid w:val="003C1B87"/>
    <w:rsid w:val="003C2896"/>
    <w:rsid w:val="0040679E"/>
    <w:rsid w:val="0049023B"/>
    <w:rsid w:val="004A6686"/>
    <w:rsid w:val="004C7774"/>
    <w:rsid w:val="00514231"/>
    <w:rsid w:val="0052300F"/>
    <w:rsid w:val="00524053"/>
    <w:rsid w:val="00545067"/>
    <w:rsid w:val="00551547"/>
    <w:rsid w:val="005803CA"/>
    <w:rsid w:val="005863A7"/>
    <w:rsid w:val="00594A0C"/>
    <w:rsid w:val="00597963"/>
    <w:rsid w:val="005C04C5"/>
    <w:rsid w:val="005D352E"/>
    <w:rsid w:val="005F2EF9"/>
    <w:rsid w:val="005F70CC"/>
    <w:rsid w:val="006062F4"/>
    <w:rsid w:val="00643199"/>
    <w:rsid w:val="00676033"/>
    <w:rsid w:val="0067689C"/>
    <w:rsid w:val="00697801"/>
    <w:rsid w:val="006B4899"/>
    <w:rsid w:val="007025B6"/>
    <w:rsid w:val="00711005"/>
    <w:rsid w:val="007273EC"/>
    <w:rsid w:val="007345ED"/>
    <w:rsid w:val="00755A6B"/>
    <w:rsid w:val="007602C3"/>
    <w:rsid w:val="00772DD6"/>
    <w:rsid w:val="007900B0"/>
    <w:rsid w:val="007C6E39"/>
    <w:rsid w:val="007F4AE3"/>
    <w:rsid w:val="007F5105"/>
    <w:rsid w:val="00804682"/>
    <w:rsid w:val="0081506C"/>
    <w:rsid w:val="00845EE4"/>
    <w:rsid w:val="0086770A"/>
    <w:rsid w:val="00881155"/>
    <w:rsid w:val="00891A35"/>
    <w:rsid w:val="008974D4"/>
    <w:rsid w:val="00897AE0"/>
    <w:rsid w:val="008F0393"/>
    <w:rsid w:val="008F0AD8"/>
    <w:rsid w:val="009326D5"/>
    <w:rsid w:val="009374C4"/>
    <w:rsid w:val="00954F32"/>
    <w:rsid w:val="009813D0"/>
    <w:rsid w:val="009A1966"/>
    <w:rsid w:val="009A2F1E"/>
    <w:rsid w:val="009A3982"/>
    <w:rsid w:val="009A6A6B"/>
    <w:rsid w:val="009B3DFD"/>
    <w:rsid w:val="00A04610"/>
    <w:rsid w:val="00A60BB1"/>
    <w:rsid w:val="00A92877"/>
    <w:rsid w:val="00A97E5A"/>
    <w:rsid w:val="00AA0964"/>
    <w:rsid w:val="00AD5E11"/>
    <w:rsid w:val="00AE3D78"/>
    <w:rsid w:val="00B223C6"/>
    <w:rsid w:val="00B26677"/>
    <w:rsid w:val="00B26D98"/>
    <w:rsid w:val="00B7620A"/>
    <w:rsid w:val="00BC1610"/>
    <w:rsid w:val="00BD7964"/>
    <w:rsid w:val="00BE0FA9"/>
    <w:rsid w:val="00C1504C"/>
    <w:rsid w:val="00C2382A"/>
    <w:rsid w:val="00C362BC"/>
    <w:rsid w:val="00C62189"/>
    <w:rsid w:val="00C633B6"/>
    <w:rsid w:val="00C7654A"/>
    <w:rsid w:val="00C77191"/>
    <w:rsid w:val="00C87513"/>
    <w:rsid w:val="00CD2118"/>
    <w:rsid w:val="00CD33B5"/>
    <w:rsid w:val="00CF09CD"/>
    <w:rsid w:val="00D45C40"/>
    <w:rsid w:val="00D5427F"/>
    <w:rsid w:val="00D745CF"/>
    <w:rsid w:val="00D82577"/>
    <w:rsid w:val="00D83978"/>
    <w:rsid w:val="00D93D0E"/>
    <w:rsid w:val="00DC14DD"/>
    <w:rsid w:val="00DE00BB"/>
    <w:rsid w:val="00DF1A52"/>
    <w:rsid w:val="00E0683D"/>
    <w:rsid w:val="00E20FF2"/>
    <w:rsid w:val="00E42E4D"/>
    <w:rsid w:val="00EC29BB"/>
    <w:rsid w:val="00F015F4"/>
    <w:rsid w:val="00F157A5"/>
    <w:rsid w:val="00F25EF5"/>
    <w:rsid w:val="00F42CDA"/>
    <w:rsid w:val="00F63667"/>
    <w:rsid w:val="00F73F29"/>
    <w:rsid w:val="00FA0E9F"/>
    <w:rsid w:val="00FA54A6"/>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D9BA6A"/>
  <w15:docId w15:val="{10538CD1-FFE0-417D-A7B2-5239A63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EF5"/>
  </w:style>
  <w:style w:type="paragraph" w:styleId="Heading1">
    <w:name w:val="heading 1"/>
    <w:next w:val="BodyText"/>
    <w:link w:val="Heading1Char"/>
    <w:uiPriority w:val="4"/>
    <w:qFormat/>
    <w:rsid w:val="00F73F29"/>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next w:val="BodyText"/>
    <w:link w:val="Heading2Char"/>
    <w:uiPriority w:val="9"/>
    <w:unhideWhenUsed/>
    <w:qFormat/>
    <w:rsid w:val="00772DD6"/>
    <w:pPr>
      <w:keepNext/>
      <w:spacing w:before="240" w:after="120"/>
      <w:outlineLvl w:val="1"/>
    </w:pPr>
    <w:rPr>
      <w:rFonts w:asciiTheme="majorHAnsi" w:eastAsia="Times New Roman" w:hAnsiTheme="majorHAnsi" w:cs="Times New Roman"/>
      <w:b/>
      <w:bCs/>
      <w:iCs/>
      <w:sz w:val="28"/>
      <w:szCs w:val="28"/>
    </w:rPr>
  </w:style>
  <w:style w:type="paragraph" w:styleId="Heading3">
    <w:name w:val="heading 3"/>
    <w:next w:val="BodyText"/>
    <w:link w:val="Heading3Char"/>
    <w:uiPriority w:val="9"/>
    <w:unhideWhenUsed/>
    <w:qFormat/>
    <w:rsid w:val="00772DD6"/>
    <w:pPr>
      <w:keepNext/>
      <w:spacing w:before="240" w:after="120"/>
      <w:outlineLvl w:val="2"/>
    </w:pPr>
    <w:rPr>
      <w:rFonts w:asciiTheme="majorHAnsi" w:eastAsia="Times New Roman" w:hAnsiTheme="majorHAnsi" w:cs="Times New Roman"/>
      <w:b/>
      <w:bCs/>
      <w:szCs w:val="26"/>
    </w:rPr>
  </w:style>
  <w:style w:type="paragraph" w:styleId="Heading4">
    <w:name w:val="heading 4"/>
    <w:next w:val="BodyText"/>
    <w:link w:val="Heading4Char"/>
    <w:uiPriority w:val="9"/>
    <w:unhideWhenUsed/>
    <w:qFormat/>
    <w:rsid w:val="00DC14DD"/>
    <w:pPr>
      <w:keepNext/>
      <w:spacing w:before="240" w:after="120"/>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DC14DD"/>
    <w:pPr>
      <w:keepNext/>
      <w:spacing w:before="240" w:after="120"/>
      <w:outlineLvl w:val="4"/>
    </w:pPr>
    <w:rPr>
      <w:rFonts w:asciiTheme="majorHAnsi" w:eastAsia="Times New Roman" w:hAnsiTheme="majorHAnsi" w:cs="Times New Roman"/>
      <w:b/>
      <w:bCs/>
      <w:i/>
      <w:iCs/>
      <w:szCs w:val="26"/>
    </w:rPr>
  </w:style>
  <w:style w:type="paragraph" w:styleId="Heading6">
    <w:name w:val="heading 6"/>
    <w:next w:val="BodyText"/>
    <w:link w:val="Heading6Char"/>
    <w:uiPriority w:val="9"/>
    <w:semiHidden/>
    <w:unhideWhenUsed/>
    <w:qFormat/>
    <w:rsid w:val="00772DD6"/>
    <w:pPr>
      <w:keepNext/>
      <w:keepLines/>
      <w:spacing w:before="240" w:after="120"/>
      <w:outlineLvl w:val="5"/>
    </w:pPr>
    <w:rPr>
      <w:rFonts w:asciiTheme="majorHAnsi" w:eastAsiaTheme="majorEastAsia" w:hAnsiTheme="majorHAnsi" w:cstheme="majorBidi"/>
      <w:iCs/>
      <w:smallCap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A54A6"/>
    <w:pPr>
      <w:tabs>
        <w:tab w:val="center" w:pos="4680"/>
        <w:tab w:val="right" w:pos="9360"/>
      </w:tabs>
    </w:pPr>
    <w:rPr>
      <w:rFonts w:eastAsiaTheme="minorHAnsi"/>
      <w:sz w:val="20"/>
    </w:rPr>
  </w:style>
  <w:style w:type="character" w:customStyle="1" w:styleId="HeaderChar">
    <w:name w:val="Header Char"/>
    <w:basedOn w:val="DefaultParagraphFont"/>
    <w:link w:val="Header"/>
    <w:uiPriority w:val="99"/>
    <w:rsid w:val="00FA54A6"/>
    <w:rPr>
      <w:rFonts w:eastAsiaTheme="minorHAnsi"/>
      <w:sz w:val="20"/>
    </w:rPr>
  </w:style>
  <w:style w:type="paragraph" w:styleId="Footer">
    <w:name w:val="footer"/>
    <w:basedOn w:val="Normal"/>
    <w:link w:val="FooterChar"/>
    <w:unhideWhenUsed/>
    <w:qFormat/>
    <w:rsid w:val="00BD7964"/>
    <w:pPr>
      <w:tabs>
        <w:tab w:val="right" w:pos="12960"/>
      </w:tabs>
      <w:spacing w:before="120"/>
    </w:pPr>
    <w:rPr>
      <w:rFonts w:eastAsiaTheme="minorHAnsi"/>
      <w:sz w:val="20"/>
      <w:szCs w:val="20"/>
    </w:rPr>
  </w:style>
  <w:style w:type="character" w:customStyle="1" w:styleId="FooterChar">
    <w:name w:val="Footer Char"/>
    <w:basedOn w:val="DefaultParagraphFont"/>
    <w:link w:val="Footer"/>
    <w:rsid w:val="00BD7964"/>
    <w:rPr>
      <w:rFonts w:eastAsiaTheme="minorHAnsi"/>
      <w:sz w:val="20"/>
      <w:szCs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4"/>
    <w:rsid w:val="00F73F2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72DD6"/>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772DD6"/>
    <w:rPr>
      <w:rFonts w:asciiTheme="majorHAnsi" w:eastAsia="Times New Roman" w:hAnsiTheme="majorHAnsi" w:cs="Times New Roman"/>
      <w:b/>
      <w:bCs/>
      <w:szCs w:val="26"/>
    </w:rPr>
  </w:style>
  <w:style w:type="character" w:customStyle="1" w:styleId="Heading4Char">
    <w:name w:val="Heading 4 Char"/>
    <w:basedOn w:val="DefaultParagraphFont"/>
    <w:link w:val="Heading4"/>
    <w:uiPriority w:val="9"/>
    <w:rsid w:val="00DC14DD"/>
    <w:rPr>
      <w:rFonts w:asciiTheme="majorHAnsi" w:eastAsia="Times New Roman" w:hAnsiTheme="majorHAnsi" w:cs="Times New Roman"/>
      <w:b/>
      <w:bCs/>
      <w:szCs w:val="28"/>
    </w:rPr>
  </w:style>
  <w:style w:type="character" w:customStyle="1" w:styleId="Heading5Char">
    <w:name w:val="Heading 5 Char"/>
    <w:basedOn w:val="DefaultParagraphFont"/>
    <w:link w:val="Heading5"/>
    <w:uiPriority w:val="9"/>
    <w:rsid w:val="00DC14DD"/>
    <w:rPr>
      <w:rFonts w:asciiTheme="majorHAnsi" w:eastAsia="Times New Roman" w:hAnsiTheme="majorHAnsi" w:cs="Times New Roman"/>
      <w:b/>
      <w:bCs/>
      <w:i/>
      <w:iCs/>
      <w:szCs w:val="26"/>
    </w:rPr>
  </w:style>
  <w:style w:type="character" w:customStyle="1" w:styleId="Heading6Char">
    <w:name w:val="Heading 6 Char"/>
    <w:basedOn w:val="DefaultParagraphFont"/>
    <w:link w:val="Heading6"/>
    <w:uiPriority w:val="9"/>
    <w:semiHidden/>
    <w:rsid w:val="00772DD6"/>
    <w:rPr>
      <w:rFonts w:asciiTheme="majorHAnsi" w:eastAsiaTheme="majorEastAsia" w:hAnsiTheme="majorHAnsi" w:cstheme="majorBidi"/>
      <w:iCs/>
      <w:smallCaps/>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TOCHeading">
    <w:name w:val="TOC Heading"/>
    <w:basedOn w:val="Heading1"/>
    <w:next w:val="Normal"/>
    <w:uiPriority w:val="39"/>
    <w:unhideWhenUsed/>
    <w:qFormat/>
    <w:rsid w:val="00F25EF5"/>
    <w:pPr>
      <w:outlineLvl w:val="9"/>
    </w:pPr>
    <w:rPr>
      <w:szCs w:val="36"/>
    </w:r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rPr>
  </w:style>
  <w:style w:type="paragraph" w:styleId="Caption">
    <w:name w:val="caption"/>
    <w:basedOn w:val="Normal"/>
    <w:next w:val="Normal"/>
    <w:uiPriority w:val="35"/>
    <w:unhideWhenUsed/>
    <w:qFormat/>
    <w:rsid w:val="002B746B"/>
    <w:pPr>
      <w:keepNext/>
      <w:spacing w:before="240" w:after="120"/>
    </w:pPr>
    <w:rPr>
      <w:rFonts w:eastAsia="Times New Roman" w:cs="Times"/>
      <w:b/>
    </w:rPr>
  </w:style>
  <w:style w:type="paragraph" w:styleId="BodyText">
    <w:name w:val="Body Text"/>
    <w:basedOn w:val="Normal"/>
    <w:link w:val="BodyTextChar"/>
    <w:qFormat/>
    <w:rsid w:val="002B746B"/>
    <w:pPr>
      <w:spacing w:before="240" w:after="120"/>
    </w:pPr>
    <w:rPr>
      <w:rFonts w:eastAsia="Times New Roman" w:cs="Times New Roman"/>
    </w:rPr>
  </w:style>
  <w:style w:type="character" w:customStyle="1" w:styleId="BodyTextChar">
    <w:name w:val="Body Text Char"/>
    <w:basedOn w:val="DefaultParagraphFont"/>
    <w:link w:val="BodyText"/>
    <w:rsid w:val="002B746B"/>
    <w:rPr>
      <w:rFonts w:eastAsia="Times New Roman" w:cs="Times New Roman"/>
    </w:rPr>
  </w:style>
  <w:style w:type="paragraph" w:customStyle="1" w:styleId="TableText">
    <w:name w:val="Table Text"/>
    <w:basedOn w:val="BodyText"/>
    <w:qFormat/>
    <w:rsid w:val="00CD33B5"/>
    <w:pPr>
      <w:spacing w:before="40" w:after="40"/>
    </w:pPr>
    <w:rPr>
      <w:sz w:val="22"/>
      <w:szCs w:val="20"/>
    </w:rPr>
  </w:style>
  <w:style w:type="paragraph" w:customStyle="1" w:styleId="TableTextCentered">
    <w:name w:val="Table Text Centered"/>
    <w:basedOn w:val="TableText"/>
    <w:rsid w:val="00CD2118"/>
    <w:pPr>
      <w:jc w:val="center"/>
    </w:pPr>
  </w:style>
  <w:style w:type="table" w:styleId="TableGrid">
    <w:name w:val="Table Grid"/>
    <w:basedOn w:val="TableNormal"/>
    <w:uiPriority w:val="59"/>
    <w:rsid w:val="00F25E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F73F29"/>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F73F29"/>
    <w:rPr>
      <w:rFonts w:ascii="Arial" w:eastAsiaTheme="majorEastAsia" w:hAnsi="Arial" w:cs="Arial"/>
      <w:b/>
      <w:color w:val="3A5877" w:themeColor="text2" w:themeShade="BF"/>
      <w:spacing w:val="5"/>
      <w:kern w:val="28"/>
      <w:sz w:val="40"/>
      <w:szCs w:val="40"/>
    </w:rPr>
  </w:style>
  <w:style w:type="table" w:customStyle="1" w:styleId="AIRBlueTable">
    <w:name w:val="AIR Blue Table"/>
    <w:basedOn w:val="TableNormal"/>
    <w:uiPriority w:val="99"/>
    <w:rsid w:val="00100C6D"/>
    <w:pPr>
      <w:spacing w:before="40" w:after="40"/>
    </w:pPr>
    <w:rPr>
      <w:sz w:val="22"/>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B5C7DB" w:themeFill="text2" w:themeFillTint="66"/>
      </w:tcPr>
    </w:tblStylePr>
    <w:tblStylePr w:type="firstCo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ascii="Arial" w:eastAsia="Times New Roman" w:hAnsi="Arial" w:cs="Times New Roman"/>
      <w:sz w:val="20"/>
    </w:rPr>
  </w:style>
  <w:style w:type="paragraph" w:customStyle="1" w:styleId="CoverPubID">
    <w:name w:val="Cover PubID"/>
    <w:basedOn w:val="Normal"/>
    <w:link w:val="CoverPubIDChar"/>
    <w:qFormat/>
    <w:rsid w:val="002B746B"/>
    <w:pPr>
      <w:tabs>
        <w:tab w:val="right" w:pos="9360"/>
      </w:tabs>
      <w:jc w:val="right"/>
    </w:pPr>
    <w:rPr>
      <w:sz w:val="16"/>
    </w:rPr>
  </w:style>
  <w:style w:type="paragraph" w:customStyle="1" w:styleId="TableBullet1">
    <w:name w:val="Table Bullet 1"/>
    <w:basedOn w:val="BodyText"/>
    <w:uiPriority w:val="7"/>
    <w:qFormat/>
    <w:rsid w:val="00CD33B5"/>
    <w:pPr>
      <w:numPr>
        <w:numId w:val="37"/>
      </w:numPr>
      <w:spacing w:before="40" w:after="40"/>
    </w:pPr>
    <w:rPr>
      <w:rFonts w:eastAsiaTheme="minorEastAsia"/>
      <w:sz w:val="22"/>
    </w:rPr>
  </w:style>
  <w:style w:type="paragraph" w:customStyle="1" w:styleId="Bullet1">
    <w:name w:val="Bullet 1"/>
    <w:basedOn w:val="BodyText"/>
    <w:qFormat/>
    <w:rsid w:val="00F25EF5"/>
    <w:pPr>
      <w:numPr>
        <w:numId w:val="34"/>
      </w:numPr>
      <w:spacing w:before="120"/>
    </w:pPr>
  </w:style>
  <w:style w:type="paragraph" w:customStyle="1" w:styleId="Bullet2">
    <w:name w:val="Bullet 2"/>
    <w:basedOn w:val="BodyText"/>
    <w:qFormat/>
    <w:rsid w:val="00F25EF5"/>
    <w:pPr>
      <w:numPr>
        <w:ilvl w:val="1"/>
        <w:numId w:val="34"/>
      </w:numPr>
      <w:spacing w:before="120"/>
    </w:pPr>
  </w:style>
  <w:style w:type="paragraph" w:customStyle="1" w:styleId="Bullet3">
    <w:name w:val="Bullet 3"/>
    <w:basedOn w:val="BodyText"/>
    <w:qFormat/>
    <w:rsid w:val="00F25EF5"/>
    <w:pPr>
      <w:numPr>
        <w:ilvl w:val="2"/>
        <w:numId w:val="34"/>
      </w:numPr>
      <w:spacing w:before="120"/>
      <w:contextualSpacing/>
    </w:pPr>
    <w:rPr>
      <w:rFonts w:eastAsiaTheme="minorEastAsia" w:cstheme="minorBidi"/>
    </w:rPr>
  </w:style>
  <w:style w:type="paragraph" w:customStyle="1" w:styleId="NumberedList">
    <w:name w:val="Numbered List"/>
    <w:basedOn w:val="BodyText"/>
    <w:uiPriority w:val="2"/>
    <w:qFormat/>
    <w:rsid w:val="00F25EF5"/>
    <w:pPr>
      <w:numPr>
        <w:numId w:val="35"/>
      </w:numPr>
      <w:spacing w:before="120"/>
    </w:pPr>
  </w:style>
  <w:style w:type="paragraph" w:customStyle="1" w:styleId="TableBullet2">
    <w:name w:val="Table Bullet 2"/>
    <w:basedOn w:val="BodyText"/>
    <w:uiPriority w:val="7"/>
    <w:qFormat/>
    <w:rsid w:val="00CD33B5"/>
    <w:pPr>
      <w:numPr>
        <w:ilvl w:val="1"/>
        <w:numId w:val="37"/>
      </w:numPr>
      <w:spacing w:before="40" w:after="40"/>
    </w:pPr>
    <w:rPr>
      <w:rFonts w:eastAsiaTheme="minorEastAsia"/>
      <w:sz w:val="22"/>
    </w:rPr>
  </w:style>
  <w:style w:type="paragraph" w:customStyle="1" w:styleId="TableNumbering">
    <w:name w:val="Table Numbering"/>
    <w:basedOn w:val="BodyText"/>
    <w:uiPriority w:val="7"/>
    <w:qFormat/>
    <w:rsid w:val="00524053"/>
    <w:pPr>
      <w:numPr>
        <w:numId w:val="38"/>
      </w:numPr>
      <w:spacing w:before="40" w:after="40"/>
      <w:ind w:hanging="383"/>
    </w:pPr>
    <w:rPr>
      <w:rFonts w:eastAsiaTheme="minorEastAsia"/>
      <w:sz w:val="22"/>
    </w:rPr>
  </w:style>
  <w:style w:type="paragraph" w:customStyle="1" w:styleId="TableNote">
    <w:name w:val="Table Note"/>
    <w:basedOn w:val="Normal"/>
    <w:qFormat/>
    <w:rsid w:val="00EC29BB"/>
    <w:pPr>
      <w:spacing w:before="120" w:after="120"/>
      <w:contextualSpacing/>
    </w:pPr>
    <w:rPr>
      <w:rFonts w:eastAsia="Times New Roman" w:cs="Times New Roman"/>
      <w:sz w:val="18"/>
    </w:rPr>
  </w:style>
  <w:style w:type="paragraph" w:customStyle="1" w:styleId="TableTitle">
    <w:name w:val="Table Title"/>
    <w:basedOn w:val="Normal"/>
    <w:qFormat/>
    <w:rsid w:val="002B746B"/>
    <w:pPr>
      <w:keepNext/>
      <w:spacing w:before="240" w:after="120"/>
    </w:pPr>
    <w:rPr>
      <w:rFonts w:eastAsia="Times New Roman" w:cstheme="minorHAnsi"/>
      <w:b/>
    </w:rPr>
  </w:style>
  <w:style w:type="paragraph" w:customStyle="1" w:styleId="TableColHeadingLeft">
    <w:name w:val="Table Col Heading Left"/>
    <w:basedOn w:val="TableText"/>
    <w:qFormat/>
    <w:rsid w:val="0040679E"/>
    <w:rPr>
      <w:rFonts w:eastAsiaTheme="minorEastAsia"/>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Normal"/>
    <w:qFormat/>
    <w:rsid w:val="00F73F29"/>
    <w:pPr>
      <w:spacing w:before="120" w:after="120"/>
      <w:ind w:left="720"/>
    </w:pPr>
    <w:rPr>
      <w:rFonts w:eastAsia="Times New Roman" w:cs="Times New Roman"/>
    </w:rPr>
  </w:style>
  <w:style w:type="paragraph" w:customStyle="1" w:styleId="TableSubheading">
    <w:name w:val="Table Subheading"/>
    <w:basedOn w:val="TableText"/>
    <w:qFormat/>
    <w:rsid w:val="0040679E"/>
    <w:rPr>
      <w:rFonts w:eastAsiaTheme="minorEastAsia"/>
      <w:b/>
      <w:szCs w:val="24"/>
    </w:rPr>
  </w:style>
  <w:style w:type="table" w:customStyle="1" w:styleId="AIRGrayTable">
    <w:name w:val="AIR Gray Table"/>
    <w:basedOn w:val="TableNormal"/>
    <w:uiPriority w:val="99"/>
    <w:rsid w:val="002D47BE"/>
    <w:pPr>
      <w:spacing w:before="40" w:after="40"/>
    </w:pPr>
    <w:rPr>
      <w:sz w:val="22"/>
    </w:rPr>
    <w:tblPr>
      <w:tblStyleRowBandSize w:val="1"/>
      <w:tblStyleColBandSize w:val="1"/>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cPr>
      <w:vAlign w:val="center"/>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tcPr>
    </w:tblStylePr>
    <w:tblStylePr w:type="firstCol">
      <w:rPr>
        <w:b/>
      </w:rPr>
      <w:tblPr/>
      <w:tcPr>
        <w:shd w:val="clear" w:color="auto" w:fill="BFBFBF" w:themeFill="background1" w:themeFillShade="BF"/>
      </w:tcPr>
    </w:tblStylePr>
    <w:tblStylePr w:type="band1Horz">
      <w:tblPr/>
      <w:tcPr>
        <w:shd w:val="clear" w:color="auto" w:fill="D9D9D9" w:themeFill="background1" w:themeFillShade="D9"/>
      </w:tcPr>
    </w:tblStylePr>
  </w:style>
  <w:style w:type="numbering" w:customStyle="1" w:styleId="AIRBullet">
    <w:name w:val="AIR Bullet"/>
    <w:uiPriority w:val="99"/>
    <w:rsid w:val="00F25EF5"/>
    <w:pPr>
      <w:numPr>
        <w:numId w:val="28"/>
      </w:numPr>
    </w:pPr>
  </w:style>
  <w:style w:type="numbering" w:customStyle="1" w:styleId="AIRNumber">
    <w:name w:val="AIR Number"/>
    <w:uiPriority w:val="99"/>
    <w:rsid w:val="00F25EF5"/>
    <w:pPr>
      <w:numPr>
        <w:numId w:val="29"/>
      </w:numPr>
    </w:pPr>
  </w:style>
  <w:style w:type="numbering" w:customStyle="1" w:styleId="AIRTableBullet">
    <w:name w:val="AIR Table Bullet"/>
    <w:uiPriority w:val="99"/>
    <w:rsid w:val="00F25EF5"/>
    <w:pPr>
      <w:numPr>
        <w:numId w:val="30"/>
      </w:numPr>
    </w:pPr>
  </w:style>
  <w:style w:type="numbering" w:customStyle="1" w:styleId="AIRTableNumbering">
    <w:name w:val="AIR Table Numbering"/>
    <w:uiPriority w:val="99"/>
    <w:rsid w:val="00F25EF5"/>
    <w:pPr>
      <w:numPr>
        <w:numId w:val="31"/>
      </w:numPr>
    </w:pPr>
  </w:style>
  <w:style w:type="character" w:styleId="FootnoteReference">
    <w:name w:val="footnote reference"/>
    <w:qFormat/>
    <w:rsid w:val="00F25EF5"/>
    <w:rPr>
      <w:vertAlign w:val="superscript"/>
    </w:rPr>
  </w:style>
  <w:style w:type="paragraph" w:styleId="FootnoteText">
    <w:name w:val="footnote text"/>
    <w:basedOn w:val="Normal"/>
    <w:link w:val="FootnoteTextChar"/>
    <w:qFormat/>
    <w:rsid w:val="007900B0"/>
    <w:pPr>
      <w:spacing w:after="200"/>
    </w:pPr>
    <w:rPr>
      <w:rFonts w:eastAsia="Times New Roman" w:cs="Times New Roman"/>
      <w:sz w:val="20"/>
      <w:szCs w:val="20"/>
    </w:rPr>
  </w:style>
  <w:style w:type="character" w:customStyle="1" w:styleId="FootnoteTextChar">
    <w:name w:val="Footnote Text Char"/>
    <w:basedOn w:val="DefaultParagraphFont"/>
    <w:link w:val="FootnoteText"/>
    <w:rsid w:val="007900B0"/>
    <w:rPr>
      <w:rFonts w:eastAsia="Times New Roman" w:cs="Times New Roman"/>
      <w:sz w:val="20"/>
      <w:szCs w:val="20"/>
    </w:rPr>
  </w:style>
  <w:style w:type="character" w:styleId="PageNumber">
    <w:name w:val="page number"/>
    <w:basedOn w:val="DefaultParagraphFont"/>
    <w:rsid w:val="00F25EF5"/>
  </w:style>
  <w:style w:type="paragraph" w:styleId="Quote">
    <w:name w:val="Quote"/>
    <w:basedOn w:val="Normal"/>
    <w:next w:val="Normal"/>
    <w:link w:val="QuoteChar"/>
    <w:uiPriority w:val="29"/>
    <w:qFormat/>
    <w:rsid w:val="00F25EF5"/>
    <w:pPr>
      <w:spacing w:after="200" w:line="276" w:lineRule="auto"/>
    </w:pPr>
    <w:rPr>
      <w:rFonts w:eastAsia="Times New Roman" w:cs="Times New Roman"/>
      <w:i/>
      <w:sz w:val="22"/>
    </w:rPr>
  </w:style>
  <w:style w:type="character" w:customStyle="1" w:styleId="QuoteChar">
    <w:name w:val="Quote Char"/>
    <w:basedOn w:val="DefaultParagraphFont"/>
    <w:link w:val="Quote"/>
    <w:uiPriority w:val="29"/>
    <w:rsid w:val="00F25EF5"/>
    <w:rPr>
      <w:rFonts w:eastAsia="Times New Roman" w:cs="Times New Roman"/>
      <w:i/>
    </w:rPr>
  </w:style>
  <w:style w:type="paragraph" w:customStyle="1" w:styleId="Reference">
    <w:name w:val="Reference"/>
    <w:link w:val="ReferenceChar"/>
    <w:rsid w:val="007900B0"/>
    <w:pPr>
      <w:keepLines/>
      <w:spacing w:before="240" w:after="120"/>
      <w:ind w:left="720" w:hanging="720"/>
    </w:pPr>
    <w:rPr>
      <w:rFonts w:ascii="Times New Roman" w:eastAsia="Times New Roman" w:hAnsi="Times New Roman" w:cs="Times New Roman"/>
      <w:szCs w:val="20"/>
    </w:rPr>
  </w:style>
  <w:style w:type="character" w:customStyle="1" w:styleId="ReferenceChar">
    <w:name w:val="Reference Char"/>
    <w:basedOn w:val="DefaultParagraphFont"/>
    <w:link w:val="Reference"/>
    <w:rsid w:val="007900B0"/>
    <w:rPr>
      <w:rFonts w:ascii="Times New Roman" w:eastAsia="Times New Roman" w:hAnsi="Times New Roman" w:cs="Times New Roman"/>
      <w:szCs w:val="20"/>
    </w:rPr>
  </w:style>
  <w:style w:type="character" w:customStyle="1" w:styleId="ReferenceItalics">
    <w:name w:val="Reference Italics"/>
    <w:basedOn w:val="DefaultParagraphFont"/>
    <w:uiPriority w:val="1"/>
    <w:qFormat/>
    <w:rsid w:val="00F25EF5"/>
    <w:rPr>
      <w:i/>
    </w:rPr>
  </w:style>
  <w:style w:type="paragraph" w:styleId="TOC1">
    <w:name w:val="toc 1"/>
    <w:basedOn w:val="Normal"/>
    <w:autoRedefine/>
    <w:uiPriority w:val="39"/>
    <w:rsid w:val="00F25EF5"/>
    <w:pPr>
      <w:tabs>
        <w:tab w:val="left" w:pos="90"/>
        <w:tab w:val="right" w:leader="dot" w:pos="9360"/>
      </w:tabs>
      <w:spacing w:before="240" w:after="200" w:line="276" w:lineRule="auto"/>
      <w:ind w:left="86" w:right="720" w:hanging="86"/>
    </w:pPr>
    <w:rPr>
      <w:rFonts w:eastAsia="Times New Roman" w:cs="Times New Roman"/>
      <w:bCs/>
      <w:noProof/>
      <w:sz w:val="22"/>
    </w:rPr>
  </w:style>
  <w:style w:type="paragraph" w:styleId="TOC2">
    <w:name w:val="toc 2"/>
    <w:basedOn w:val="Normal"/>
    <w:autoRedefine/>
    <w:uiPriority w:val="39"/>
    <w:rsid w:val="00F25EF5"/>
    <w:pPr>
      <w:tabs>
        <w:tab w:val="left" w:pos="450"/>
        <w:tab w:val="right" w:leader="dot" w:pos="9360"/>
      </w:tabs>
      <w:spacing w:before="120" w:after="200" w:line="276" w:lineRule="auto"/>
      <w:ind w:left="446" w:right="720" w:hanging="86"/>
    </w:pPr>
    <w:rPr>
      <w:rFonts w:eastAsia="Times New Roman" w:cs="Times New Roman"/>
      <w:noProof/>
      <w:sz w:val="22"/>
    </w:rPr>
  </w:style>
  <w:style w:type="paragraph" w:styleId="TOC3">
    <w:name w:val="toc 3"/>
    <w:basedOn w:val="Normal"/>
    <w:next w:val="Normal"/>
    <w:autoRedefine/>
    <w:uiPriority w:val="39"/>
    <w:unhideWhenUsed/>
    <w:rsid w:val="00F25EF5"/>
    <w:pPr>
      <w:tabs>
        <w:tab w:val="right" w:leader="dot" w:pos="9360"/>
      </w:tabs>
      <w:spacing w:before="120" w:after="200" w:line="276" w:lineRule="auto"/>
      <w:ind w:left="806" w:right="720" w:hanging="86"/>
    </w:pPr>
    <w:rPr>
      <w:rFonts w:eastAsiaTheme="minorHAnsi"/>
      <w:sz w:val="22"/>
    </w:rPr>
  </w:style>
  <w:style w:type="paragraph" w:styleId="TOC4">
    <w:name w:val="toc 4"/>
    <w:basedOn w:val="Normal"/>
    <w:next w:val="Normal"/>
    <w:autoRedefine/>
    <w:uiPriority w:val="39"/>
    <w:rsid w:val="00F25EF5"/>
    <w:pPr>
      <w:tabs>
        <w:tab w:val="right" w:leader="dot" w:pos="9350"/>
      </w:tabs>
      <w:spacing w:before="120" w:after="200" w:line="276" w:lineRule="auto"/>
      <w:ind w:left="1166" w:right="720" w:hanging="86"/>
    </w:pPr>
    <w:rPr>
      <w:rFonts w:eastAsia="Times New Roman" w:cs="Times"/>
      <w:sz w:val="22"/>
    </w:rPr>
  </w:style>
  <w:style w:type="character" w:customStyle="1" w:styleId="CoverPubIDChar">
    <w:name w:val="Cover PubID Char"/>
    <w:basedOn w:val="DefaultParagraphFont"/>
    <w:link w:val="CoverPubID"/>
    <w:rsid w:val="00514231"/>
    <w:rPr>
      <w:sz w:val="16"/>
    </w:rPr>
  </w:style>
  <w:style w:type="paragraph" w:customStyle="1" w:styleId="GraphPlacement">
    <w:name w:val="Graph Placement"/>
    <w:basedOn w:val="BodyText"/>
    <w:next w:val="BodyText"/>
    <w:rsid w:val="00F73F29"/>
    <w:pPr>
      <w:spacing w:before="120"/>
    </w:pPr>
  </w:style>
  <w:style w:type="paragraph" w:styleId="ListParagraph">
    <w:name w:val="List Paragraph"/>
    <w:basedOn w:val="Normal"/>
    <w:uiPriority w:val="34"/>
    <w:qFormat/>
    <w:rsid w:val="00103FD6"/>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103FD6"/>
    <w:rPr>
      <w:color w:val="0000FF" w:themeColor="hyperlink"/>
      <w:u w:val="single"/>
    </w:rPr>
  </w:style>
  <w:style w:type="paragraph" w:customStyle="1" w:styleId="Default">
    <w:name w:val="Default"/>
    <w:rsid w:val="00103FD6"/>
    <w:pPr>
      <w:autoSpaceDE w:val="0"/>
      <w:autoSpaceDN w:val="0"/>
      <w:adjustRightInd w:val="0"/>
    </w:pPr>
    <w:rPr>
      <w:rFonts w:ascii="Calibri" w:eastAsiaTheme="minorHAnsi" w:hAnsi="Calibri" w:cs="Calibri"/>
      <w:color w:val="000000"/>
    </w:rPr>
  </w:style>
  <w:style w:type="character" w:styleId="FollowedHyperlink">
    <w:name w:val="FollowedHyperlink"/>
    <w:basedOn w:val="DefaultParagraphFont"/>
    <w:uiPriority w:val="99"/>
    <w:semiHidden/>
    <w:unhideWhenUsed/>
    <w:rsid w:val="00C633B6"/>
    <w:rPr>
      <w:color w:val="800080" w:themeColor="followedHyperlink"/>
      <w:u w:val="single"/>
    </w:rPr>
  </w:style>
  <w:style w:type="character" w:styleId="UnresolvedMention">
    <w:name w:val="Unresolved Mention"/>
    <w:basedOn w:val="DefaultParagraphFont"/>
    <w:uiPriority w:val="99"/>
    <w:semiHidden/>
    <w:unhideWhenUsed/>
    <w:rsid w:val="002A7E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tlcenter.org/products-resources/Collaborative_GuidingPrincipl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ADC9207-EA3E-47B1-BA72-58F7D97C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1173</Words>
  <Characters>6688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deBoinville, Amy</dc:creator>
  <cp:lastModifiedBy>Giffin, Jessica</cp:lastModifiedBy>
  <cp:revision>2</cp:revision>
  <cp:lastPrinted>2013-01-03T20:30:00Z</cp:lastPrinted>
  <dcterms:created xsi:type="dcterms:W3CDTF">2019-02-11T21:07:00Z</dcterms:created>
  <dcterms:modified xsi:type="dcterms:W3CDTF">2019-02-11T21:07:00Z</dcterms:modified>
</cp:coreProperties>
</file>