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9A" w:rsidRDefault="006F6D9A" w:rsidP="003F1874">
      <w:pPr>
        <w:pStyle w:val="Heading1"/>
      </w:pPr>
    </w:p>
    <w:p w:rsidR="006F6D9A" w:rsidRDefault="006F6D9A" w:rsidP="003F1874">
      <w:pPr>
        <w:pStyle w:val="Heading1"/>
      </w:pPr>
    </w:p>
    <w:p w:rsidR="006F6D9A" w:rsidRDefault="006F6D9A" w:rsidP="003F1874">
      <w:pPr>
        <w:pStyle w:val="Heading1"/>
      </w:pPr>
    </w:p>
    <w:p w:rsidR="003F1874" w:rsidRPr="00371404" w:rsidRDefault="003F1874" w:rsidP="003F1874">
      <w:pPr>
        <w:pStyle w:val="Heading1"/>
      </w:pPr>
      <w:bookmarkStart w:id="0" w:name="_GoBack"/>
      <w:bookmarkEnd w:id="0"/>
      <w:r w:rsidRPr="00371404">
        <w:t>T4TLA National Meeting 2</w:t>
      </w:r>
    </w:p>
    <w:p w:rsidR="003F1874" w:rsidRPr="003F1874" w:rsidRDefault="003F1874" w:rsidP="003F1874">
      <w:pPr>
        <w:pStyle w:val="BodyText"/>
        <w:rPr>
          <w:b/>
        </w:rPr>
      </w:pPr>
      <w:r w:rsidRPr="003F1874">
        <w:rPr>
          <w:b/>
        </w:rPr>
        <w:t>May 11, 2017</w:t>
      </w:r>
    </w:p>
    <w:p w:rsidR="003F1874" w:rsidRPr="003F1874" w:rsidRDefault="003F1874" w:rsidP="003F1874">
      <w:pPr>
        <w:pStyle w:val="BodyText"/>
        <w:rPr>
          <w:b/>
        </w:rPr>
      </w:pPr>
      <w:r w:rsidRPr="003F1874">
        <w:rPr>
          <w:b/>
        </w:rPr>
        <w:t>10:45–12:15</w:t>
      </w:r>
    </w:p>
    <w:p w:rsidR="003F1874" w:rsidRPr="003F1874" w:rsidRDefault="003F1874" w:rsidP="003F1874">
      <w:pPr>
        <w:pStyle w:val="BodyText"/>
        <w:spacing w:before="480"/>
        <w:rPr>
          <w:b/>
        </w:rPr>
      </w:pPr>
      <w:r w:rsidRPr="003F1874">
        <w:rPr>
          <w:b/>
        </w:rPr>
        <w:t>The Domains in Action: School Turnaround in Avondale, Arizona</w:t>
      </w:r>
    </w:p>
    <w:p w:rsidR="003F1874" w:rsidRDefault="003F1874" w:rsidP="003F1874">
      <w:pPr>
        <w:pStyle w:val="BodyText"/>
        <w:spacing w:before="480"/>
      </w:pPr>
      <w:r w:rsidRPr="00371404">
        <w:t>TEAM:</w:t>
      </w:r>
      <w:r w:rsidRPr="00371404">
        <w:tab/>
        <w:t>_____________________________________</w:t>
      </w:r>
      <w:r>
        <w:t>______________________</w:t>
      </w:r>
      <w:r w:rsidRPr="00371404">
        <w:t>_</w:t>
      </w:r>
    </w:p>
    <w:p w:rsidR="003F1874" w:rsidRPr="003F1874" w:rsidRDefault="003F1874" w:rsidP="003F1874">
      <w:pPr>
        <w:pStyle w:val="BodyText"/>
        <w:rPr>
          <w:b/>
        </w:rPr>
      </w:pPr>
      <w:r w:rsidRPr="003F1874">
        <w:rPr>
          <w:b/>
        </w:rPr>
        <w:t>REFLECTION QUESTIONS</w:t>
      </w:r>
    </w:p>
    <w:p w:rsidR="003F1874" w:rsidRDefault="003F1874" w:rsidP="003F1874">
      <w:pPr>
        <w:pStyle w:val="NumberedList"/>
        <w:spacing w:after="1680"/>
        <w:ind w:left="360"/>
      </w:pPr>
      <w:r w:rsidRPr="00AD4FE1">
        <w:t xml:space="preserve">What strikes you about the </w:t>
      </w:r>
      <w:r w:rsidRPr="00AD4FE1">
        <w:rPr>
          <w:b/>
        </w:rPr>
        <w:t xml:space="preserve">challenges </w:t>
      </w:r>
      <w:r w:rsidRPr="00AD4FE1">
        <w:t xml:space="preserve">Avondale faced? </w:t>
      </w:r>
      <w:r>
        <w:t xml:space="preserve"> </w:t>
      </w:r>
    </w:p>
    <w:p w:rsidR="003F1874" w:rsidRDefault="003F1874" w:rsidP="003F1874">
      <w:pPr>
        <w:pStyle w:val="NumberedList"/>
        <w:spacing w:after="1680"/>
        <w:ind w:left="360"/>
      </w:pPr>
      <w:r>
        <w:t>What challenges may be like those you are facing and working to address?</w:t>
      </w:r>
    </w:p>
    <w:p w:rsidR="003F1874" w:rsidRDefault="003F1874" w:rsidP="003F1874">
      <w:pPr>
        <w:pStyle w:val="NumberedList"/>
        <w:spacing w:after="1680"/>
        <w:ind w:left="360"/>
      </w:pPr>
      <w:r>
        <w:t>What strikes you about Avondale’s early actions?</w:t>
      </w:r>
    </w:p>
    <w:p w:rsidR="003F1874" w:rsidRPr="00AD4FE1" w:rsidRDefault="003F1874" w:rsidP="003F1874">
      <w:pPr>
        <w:pStyle w:val="NumberedList"/>
        <w:spacing w:after="1680"/>
        <w:ind w:left="360"/>
      </w:pPr>
      <w:r>
        <w:t>Is there anything you would like to know more about Avondale, their challenges and</w:t>
      </w:r>
      <w:r>
        <w:br/>
        <w:t>early actions?</w:t>
      </w:r>
    </w:p>
    <w:p w:rsidR="003F1874" w:rsidRPr="00B434A9" w:rsidRDefault="003F1874" w:rsidP="003F1874">
      <w:pPr>
        <w:pStyle w:val="BodyText"/>
      </w:pPr>
      <w:r w:rsidRPr="00B434A9">
        <w:rPr>
          <w:b/>
        </w:rPr>
        <w:lastRenderedPageBreak/>
        <w:t>REFLECTION QUESTIONS</w:t>
      </w:r>
      <w:r>
        <w:rPr>
          <w:b/>
        </w:rPr>
        <w:t>:</w:t>
      </w:r>
      <w:r w:rsidRPr="00B434A9">
        <w:rPr>
          <w:b/>
        </w:rPr>
        <w:t xml:space="preserve"> </w:t>
      </w:r>
      <w:r w:rsidRPr="00B434A9">
        <w:t>What</w:t>
      </w:r>
      <w:r w:rsidRPr="00B434A9">
        <w:rPr>
          <w:b/>
        </w:rPr>
        <w:t xml:space="preserve"> strategies </w:t>
      </w:r>
      <w:r w:rsidRPr="00B434A9">
        <w:t>did Avondale use in its turnaround? (</w:t>
      </w:r>
      <w:r w:rsidRPr="00B434A9">
        <w:sym w:font="Wingdings" w:char="F0FC"/>
      </w:r>
      <w:r w:rsidRPr="00B434A9">
        <w:t>) How did these strategies lead to desired changes? (Notes)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9"/>
        <w:gridCol w:w="2693"/>
        <w:gridCol w:w="6228"/>
      </w:tblGrid>
      <w:tr w:rsidR="003F1874" w:rsidRPr="00DA03D2" w:rsidTr="003F1874">
        <w:tc>
          <w:tcPr>
            <w:tcW w:w="445" w:type="dxa"/>
            <w:shd w:val="clear" w:color="auto" w:fill="A3C9E3" w:themeFill="accent1" w:themeFillTint="66"/>
            <w:vAlign w:val="bottom"/>
          </w:tcPr>
          <w:p w:rsidR="003F1874" w:rsidRPr="00DA03D2" w:rsidRDefault="003F1874" w:rsidP="003F1874">
            <w:pPr>
              <w:pStyle w:val="TableColumnHeadCentered"/>
            </w:pPr>
            <w:r w:rsidRPr="00DA03D2">
              <w:sym w:font="Wingdings" w:char="F0FC"/>
            </w:r>
          </w:p>
        </w:tc>
        <w:tc>
          <w:tcPr>
            <w:tcW w:w="9540" w:type="dxa"/>
            <w:gridSpan w:val="2"/>
            <w:shd w:val="clear" w:color="auto" w:fill="A3C9E3" w:themeFill="accent1" w:themeFillTint="66"/>
            <w:vAlign w:val="bottom"/>
          </w:tcPr>
          <w:p w:rsidR="003F1874" w:rsidRPr="00DA03D2" w:rsidRDefault="003F1874" w:rsidP="003F1874">
            <w:pPr>
              <w:pStyle w:val="TableColumnHeadCentered"/>
            </w:pPr>
            <w:r w:rsidRPr="00DA03D2">
              <w:t>TURNAROUND LEADERSHIP</w:t>
            </w: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 xml:space="preserve">Prioritize improvement </w:t>
            </w:r>
          </w:p>
        </w:tc>
        <w:tc>
          <w:tcPr>
            <w:tcW w:w="6750" w:type="dxa"/>
            <w:vMerge w:val="restart"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Monitor goals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Customize and target support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  <w:shd w:val="clear" w:color="auto" w:fill="A3C9E3" w:themeFill="accent1" w:themeFillTint="66"/>
            <w:vAlign w:val="center"/>
          </w:tcPr>
          <w:p w:rsidR="003F1874" w:rsidRPr="00DA03D2" w:rsidRDefault="003F1874" w:rsidP="003F1874">
            <w:pPr>
              <w:pStyle w:val="TableSubheading"/>
              <w:jc w:val="center"/>
            </w:pPr>
          </w:p>
        </w:tc>
        <w:tc>
          <w:tcPr>
            <w:tcW w:w="9540" w:type="dxa"/>
            <w:gridSpan w:val="2"/>
            <w:shd w:val="clear" w:color="auto" w:fill="A3C9E3" w:themeFill="accent1" w:themeFillTint="66"/>
            <w:vAlign w:val="center"/>
          </w:tcPr>
          <w:p w:rsidR="003F1874" w:rsidRPr="00B434A9" w:rsidRDefault="003F1874" w:rsidP="003F1874">
            <w:pPr>
              <w:pStyle w:val="TableSubheading"/>
              <w:jc w:val="center"/>
            </w:pPr>
            <w:r w:rsidRPr="00B434A9">
              <w:t>CULTURE SHIFT</w:t>
            </w: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Build a culture focused on</w:t>
            </w:r>
            <w:r>
              <w:t xml:space="preserve"> </w:t>
            </w:r>
            <w:r w:rsidRPr="00B434A9">
              <w:t>student learning and effort</w:t>
            </w:r>
            <w:r>
              <w:t xml:space="preserve"> </w:t>
            </w:r>
          </w:p>
        </w:tc>
        <w:tc>
          <w:tcPr>
            <w:tcW w:w="6750" w:type="dxa"/>
            <w:vMerge w:val="restart"/>
          </w:tcPr>
          <w:p w:rsidR="003F1874" w:rsidRPr="00DA03D2" w:rsidRDefault="003F1874" w:rsidP="00AA083F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Solicit and act on</w:t>
            </w:r>
            <w:r>
              <w:t xml:space="preserve"> </w:t>
            </w:r>
            <w:r w:rsidRPr="00B434A9">
              <w:t>stakeholder input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Engage students</w:t>
            </w:r>
            <w:r>
              <w:t xml:space="preserve"> </w:t>
            </w:r>
            <w:r w:rsidRPr="00B434A9">
              <w:t>and families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  <w:shd w:val="clear" w:color="auto" w:fill="A3C9E3" w:themeFill="accent1" w:themeFillTint="66"/>
            <w:vAlign w:val="center"/>
          </w:tcPr>
          <w:p w:rsidR="003F1874" w:rsidRPr="00DA03D2" w:rsidRDefault="003F1874" w:rsidP="003F1874">
            <w:pPr>
              <w:pStyle w:val="TableSubheading"/>
              <w:jc w:val="center"/>
            </w:pPr>
          </w:p>
        </w:tc>
        <w:tc>
          <w:tcPr>
            <w:tcW w:w="9540" w:type="dxa"/>
            <w:gridSpan w:val="2"/>
            <w:shd w:val="clear" w:color="auto" w:fill="A3C9E3" w:themeFill="accent1" w:themeFillTint="66"/>
            <w:vAlign w:val="center"/>
          </w:tcPr>
          <w:p w:rsidR="003F1874" w:rsidRPr="00B434A9" w:rsidRDefault="003F1874" w:rsidP="003F1874">
            <w:pPr>
              <w:pStyle w:val="TableSubheading"/>
              <w:jc w:val="center"/>
            </w:pPr>
            <w:r w:rsidRPr="00B434A9">
              <w:t>TALENT DEVELOPMENT</w:t>
            </w: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Recruit, develop, retain, and sustain talent</w:t>
            </w:r>
          </w:p>
        </w:tc>
        <w:tc>
          <w:tcPr>
            <w:tcW w:w="6750" w:type="dxa"/>
            <w:vMerge w:val="restart"/>
          </w:tcPr>
          <w:p w:rsidR="003F1874" w:rsidRPr="00DA03D2" w:rsidRDefault="003F1874" w:rsidP="00AA083F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t>Target professional learning opportunities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</w:pPr>
          </w:p>
        </w:tc>
        <w:tc>
          <w:tcPr>
            <w:tcW w:w="2790" w:type="dxa"/>
          </w:tcPr>
          <w:p w:rsidR="003F1874" w:rsidRPr="00FA0C5A" w:rsidRDefault="003F1874" w:rsidP="003F1874">
            <w:pPr>
              <w:pStyle w:val="TableText"/>
            </w:pPr>
            <w:r w:rsidRPr="00FA0C5A">
              <w:t>Set clear performance expectations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  <w:shd w:val="clear" w:color="auto" w:fill="A3C9E3" w:themeFill="accent1" w:themeFillTint="66"/>
            <w:vAlign w:val="center"/>
          </w:tcPr>
          <w:p w:rsidR="003F1874" w:rsidRPr="00DA03D2" w:rsidRDefault="003F1874" w:rsidP="003F1874">
            <w:pPr>
              <w:pStyle w:val="TableSubheading"/>
              <w:jc w:val="center"/>
            </w:pPr>
          </w:p>
        </w:tc>
        <w:tc>
          <w:tcPr>
            <w:tcW w:w="9540" w:type="dxa"/>
            <w:gridSpan w:val="2"/>
            <w:shd w:val="clear" w:color="auto" w:fill="A3C9E3" w:themeFill="accent1" w:themeFillTint="66"/>
            <w:vAlign w:val="center"/>
          </w:tcPr>
          <w:p w:rsidR="003F1874" w:rsidRPr="00B434A9" w:rsidRDefault="003F1874" w:rsidP="003F1874">
            <w:pPr>
              <w:pStyle w:val="TableSubheading"/>
              <w:jc w:val="center"/>
            </w:pPr>
            <w:r w:rsidRPr="00B434A9">
              <w:t>INSTRUCTIONAL TRANSFORMATION</w:t>
            </w: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  <w:rPr>
                <w:rFonts w:cs="AkzidenzGroteskBE-MdCn"/>
              </w:rPr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  <w:rPr>
                <w:rFonts w:cs="AkzidenzGroteskBE-MdCn"/>
              </w:rPr>
            </w:pPr>
            <w:r w:rsidRPr="00B434A9">
              <w:rPr>
                <w:rFonts w:cs="AkzidenzGroteskBE-MdCn"/>
              </w:rPr>
              <w:t>Diagnose and respond to student</w:t>
            </w:r>
            <w:r>
              <w:rPr>
                <w:rFonts w:cs="AkzidenzGroteskBE-MdCn"/>
              </w:rPr>
              <w:t xml:space="preserve"> </w:t>
            </w:r>
            <w:r w:rsidRPr="00B434A9">
              <w:rPr>
                <w:rFonts w:cs="AkzidenzGroteskBE-MdCn"/>
              </w:rPr>
              <w:t>learning needs</w:t>
            </w:r>
            <w:r>
              <w:rPr>
                <w:rFonts w:cs="AkzidenzGroteskBE-MdCn"/>
              </w:rPr>
              <w:t xml:space="preserve"> </w:t>
            </w:r>
          </w:p>
        </w:tc>
        <w:tc>
          <w:tcPr>
            <w:tcW w:w="6750" w:type="dxa"/>
            <w:vMerge w:val="restart"/>
          </w:tcPr>
          <w:p w:rsidR="003F1874" w:rsidRPr="00DA03D2" w:rsidRDefault="003F1874" w:rsidP="00AA083F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  <w:rPr>
                <w:rFonts w:cs="AkzidenzGroteskBE-MdCn"/>
              </w:rPr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  <w:rPr>
                <w:rFonts w:cs="AkzidenzGroteskBE-MdCn"/>
              </w:rPr>
            </w:pPr>
            <w:r w:rsidRPr="00B434A9">
              <w:rPr>
                <w:rFonts w:cs="AkzidenzGroteskBE-MdCn"/>
              </w:rPr>
              <w:t>Rigorous evidence-based instruction</w:t>
            </w:r>
            <w:r>
              <w:rPr>
                <w:rFonts w:cs="AkzidenzGroteskBE-MdCn"/>
              </w:rPr>
              <w:t xml:space="preserve"> 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  <w:tr w:rsidR="003F1874" w:rsidRPr="00DA03D2" w:rsidTr="003F1874">
        <w:tc>
          <w:tcPr>
            <w:tcW w:w="445" w:type="dxa"/>
          </w:tcPr>
          <w:p w:rsidR="003F1874" w:rsidRPr="00DA03D2" w:rsidRDefault="003F1874" w:rsidP="003F1874">
            <w:pPr>
              <w:pStyle w:val="TableText"/>
              <w:rPr>
                <w:rFonts w:cs="AkzidenzGroteskBE-MdCn"/>
              </w:rPr>
            </w:pPr>
          </w:p>
        </w:tc>
        <w:tc>
          <w:tcPr>
            <w:tcW w:w="2790" w:type="dxa"/>
          </w:tcPr>
          <w:p w:rsidR="003F1874" w:rsidRPr="00B434A9" w:rsidRDefault="003F1874" w:rsidP="003F1874">
            <w:pPr>
              <w:pStyle w:val="TableText"/>
            </w:pPr>
            <w:r w:rsidRPr="00B434A9">
              <w:rPr>
                <w:rFonts w:cs="AkzidenzGroteskBE-MdCn"/>
              </w:rPr>
              <w:t>Remove barriers and provide</w:t>
            </w:r>
            <w:r>
              <w:rPr>
                <w:rFonts w:cs="AkzidenzGroteskBE-MdCn"/>
              </w:rPr>
              <w:t xml:space="preserve"> </w:t>
            </w:r>
            <w:r w:rsidRPr="00B434A9">
              <w:rPr>
                <w:rFonts w:cs="AkzidenzGroteskBE-MdCn"/>
              </w:rPr>
              <w:t>opportunities</w:t>
            </w:r>
          </w:p>
        </w:tc>
        <w:tc>
          <w:tcPr>
            <w:tcW w:w="6750" w:type="dxa"/>
            <w:vMerge/>
          </w:tcPr>
          <w:p w:rsidR="003F1874" w:rsidRPr="00DA03D2" w:rsidRDefault="003F1874" w:rsidP="003F1874">
            <w:pPr>
              <w:pStyle w:val="TableText"/>
            </w:pPr>
          </w:p>
        </w:tc>
      </w:tr>
    </w:tbl>
    <w:p w:rsidR="005965FB" w:rsidRPr="003F1874" w:rsidRDefault="005965FB" w:rsidP="003F1874"/>
    <w:sectPr w:rsidR="005965FB" w:rsidRPr="003F1874" w:rsidSect="006F6D9A">
      <w:footerReference w:type="default" r:id="rId7"/>
      <w:headerReference w:type="first" r:id="rId8"/>
      <w:footerReference w:type="first" r:id="rId9"/>
      <w:pgSz w:w="12240" w:h="15840"/>
      <w:pgMar w:top="-42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74" w:rsidRDefault="003F1874">
      <w:r>
        <w:separator/>
      </w:r>
    </w:p>
  </w:endnote>
  <w:endnote w:type="continuationSeparator" w:id="0">
    <w:p w:rsidR="003F1874" w:rsidRDefault="003F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FB" w:rsidRDefault="003F1874">
    <w:pPr>
      <w:pStyle w:val="Footer"/>
    </w:pPr>
    <w:r>
      <w:t xml:space="preserve">Talent for Turnaround </w:t>
    </w:r>
    <w:r>
      <w:ptab w:relativeTo="margin" w:alignment="right" w:leader="none"/>
    </w:r>
    <w:r>
      <w:t xml:space="preserve"> </w:t>
    </w:r>
    <w:r w:rsidRPr="003F1874">
      <w:t>T4TLA National Meeting 2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6F6D9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FB" w:rsidRDefault="003F1874">
    <w:pPr>
      <w:pStyle w:val="Footer"/>
    </w:pPr>
    <w:r>
      <w:t xml:space="preserve">Talent for Turnaround </w:t>
    </w:r>
    <w:r>
      <w:ptab w:relativeTo="margin" w:alignment="right" w:leader="none"/>
    </w:r>
    <w:r>
      <w:t xml:space="preserve"> </w:t>
    </w:r>
    <w:r w:rsidRPr="003F1874">
      <w:t>T4TLA National Meeting 2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6F6D9A">
      <w:rPr>
        <w:noProof/>
      </w:rPr>
      <w:t>1</w:t>
    </w:r>
    <w:r>
      <w:fldChar w:fldCharType="end"/>
    </w:r>
  </w:p>
  <w:p w:rsidR="005965FB" w:rsidRDefault="003F1874">
    <w:pPr>
      <w:pStyle w:val="Footer"/>
      <w:rPr>
        <w:sz w:val="16"/>
      </w:rPr>
    </w:pPr>
    <w:r w:rsidRPr="003F1874">
      <w:ptab w:relativeTo="margin" w:alignment="right" w:leader="none"/>
    </w:r>
    <w:r w:rsidRPr="003F1874">
      <w:t xml:space="preserve"> </w:t>
    </w:r>
    <w:r w:rsidRPr="003F1874">
      <w:rPr>
        <w:rStyle w:val="PubIDChar"/>
      </w:rPr>
      <w:t>0991_04/17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74" w:rsidRDefault="003F1874">
      <w:r>
        <w:separator/>
      </w:r>
    </w:p>
  </w:footnote>
  <w:footnote w:type="continuationSeparator" w:id="0">
    <w:p w:rsidR="003F1874" w:rsidRDefault="003F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FB" w:rsidRDefault="003F1874">
    <w:pPr>
      <w:pStyle w:val="Header"/>
      <w:spacing w:before="1440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-545106</wp:posOffset>
          </wp:positionH>
          <wp:positionV relativeFrom="page">
            <wp:posOffset>280670</wp:posOffset>
          </wp:positionV>
          <wp:extent cx="2880360" cy="621792"/>
          <wp:effectExtent l="0" t="0" r="0" b="6985"/>
          <wp:wrapNone/>
          <wp:docPr id="24" name="Picture 24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1005840</wp:posOffset>
              </wp:positionV>
              <wp:extent cx="7315200" cy="91440"/>
              <wp:effectExtent l="0" t="0" r="0" b="3810"/>
              <wp:wrapTopAndBottom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accent5"/>
                          </a:gs>
                          <a:gs pos="49500">
                            <a:schemeClr val="accent3"/>
                          </a:gs>
                          <a:gs pos="40000">
                            <a:schemeClr val="accent2"/>
                          </a:gs>
                          <a:gs pos="0">
                            <a:schemeClr val="accent1"/>
                          </a:gs>
                          <a:gs pos="100000">
                            <a:schemeClr val="accent6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F6573" id="Rectangle 3" o:spid="_x0000_s1026" style="position:absolute;margin-left:18pt;margin-top:79.2pt;width:8in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" fillcolor="#3175a5 [3204]" stroked="f">
              <v:fill color2="#298a6b [3209]" rotate="t" angle="90" colors="0 #3175a5;26214f #84b2de;32440f #103c9c;39322f #8cd7c6;1 #298a6b" focus="100%" type="gradien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1DB"/>
    <w:multiLevelType w:val="multilevel"/>
    <w:tmpl w:val="0FDE01E8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2D7E7F59"/>
    <w:multiLevelType w:val="hybridMultilevel"/>
    <w:tmpl w:val="E1A0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F9F"/>
    <w:multiLevelType w:val="multilevel"/>
    <w:tmpl w:val="F90259FE"/>
    <w:numStyleLink w:val="AIRBullet"/>
  </w:abstractNum>
  <w:abstractNum w:abstractNumId="3" w15:restartNumberingAfterBreak="0">
    <w:nsid w:val="30D75E31"/>
    <w:multiLevelType w:val="multilevel"/>
    <w:tmpl w:val="6860ABCC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4" w15:restartNumberingAfterBreak="0">
    <w:nsid w:val="387F1524"/>
    <w:multiLevelType w:val="multilevel"/>
    <w:tmpl w:val="F90259FE"/>
    <w:styleLink w:val="AIRBullet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BBB"/>
    <w:multiLevelType w:val="multilevel"/>
    <w:tmpl w:val="F134F144"/>
    <w:numStyleLink w:val="AIRTableBullet"/>
  </w:abstractNum>
  <w:abstractNum w:abstractNumId="7" w15:restartNumberingAfterBreak="0">
    <w:nsid w:val="74117227"/>
    <w:multiLevelType w:val="hybridMultilevel"/>
    <w:tmpl w:val="B08EDC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6"/>
  </w:num>
  <w:num w:numId="17">
    <w:abstractNumId w:val="6"/>
  </w:num>
  <w:num w:numId="18">
    <w:abstractNumId w:val="3"/>
  </w:num>
  <w:num w:numId="19">
    <w:abstractNumId w:val="4"/>
  </w:num>
  <w:num w:numId="20">
    <w:abstractNumId w:val="0"/>
  </w:num>
  <w:num w:numId="21">
    <w:abstractNumId w:val="5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6"/>
  </w:num>
  <w:num w:numId="28">
    <w:abstractNumId w:val="6"/>
  </w:num>
  <w:num w:numId="29">
    <w:abstractNumId w:val="3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74"/>
    <w:rsid w:val="00020E0B"/>
    <w:rsid w:val="003F1874"/>
    <w:rsid w:val="005965FB"/>
    <w:rsid w:val="006F6D9A"/>
    <w:rsid w:val="00A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393853-ACBA-4F62-8D57-045E5A0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74"/>
    <w:rPr>
      <w:rFonts w:eastAsiaTheme="minorHAnsi"/>
    </w:rPr>
  </w:style>
  <w:style w:type="paragraph" w:styleId="Heading1">
    <w:name w:val="heading 1"/>
    <w:next w:val="BodyText"/>
    <w:link w:val="Heading1Char"/>
    <w:uiPriority w:val="9"/>
    <w:qFormat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103C9C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bCs/>
      <w:color w:val="103C9C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 w:line="240" w:lineRule="auto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 w:line="240" w:lineRule="auto"/>
      <w:outlineLvl w:val="3"/>
    </w:pPr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 w:line="240" w:lineRule="auto"/>
      <w:outlineLvl w:val="4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 w:line="240" w:lineRule="auto"/>
      <w:outlineLvl w:val="5"/>
    </w:pPr>
    <w:rPr>
      <w:rFonts w:asciiTheme="majorHAnsi" w:eastAsia="Times New Roman" w:hAnsiTheme="majorHAnsi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BlueTable">
    <w:name w:val="Blue Table"/>
    <w:basedOn w:val="TableNormal"/>
    <w:uiPriority w:val="99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5D0EB" w:themeFill="accent2" w:themeFillTint="99"/>
      </w:tcPr>
    </w:tblStylePr>
    <w:tblStylePr w:type="firstCol">
      <w:rPr>
        <w:b/>
      </w:rPr>
      <w:tblPr/>
      <w:tcPr>
        <w:shd w:val="clear" w:color="auto" w:fill="B5D0EB" w:themeFill="accent2" w:themeFillTint="99"/>
      </w:tcPr>
    </w:tblStylePr>
    <w:tblStylePr w:type="band1Horz">
      <w:tblPr/>
      <w:tcPr>
        <w:shd w:val="clear" w:color="auto" w:fill="E6EFF8" w:themeFill="accent2" w:themeFillTint="33"/>
      </w:tcPr>
    </w:tblStylePr>
  </w:style>
  <w:style w:type="numbering" w:customStyle="1" w:styleId="AIRBullet">
    <w:name w:val="AIR Bullet"/>
    <w:uiPriority w:val="99"/>
    <w:pPr>
      <w:numPr>
        <w:numId w:val="1"/>
      </w:numPr>
    </w:pPr>
  </w:style>
  <w:style w:type="table" w:customStyle="1" w:styleId="AIRGrayTable">
    <w:name w:val="AIR Gray Table"/>
    <w:basedOn w:val="TableNormal"/>
    <w:uiPriority w:val="99"/>
    <w:pPr>
      <w:spacing w:before="40" w:after="40" w:line="240" w:lineRule="auto"/>
    </w:pPr>
    <w:rPr>
      <w:rFonts w:asciiTheme="majorHAnsi" w:eastAsia="Times New Roman" w:hAnsiTheme="majorHAnsi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numbering" w:customStyle="1" w:styleId="AIRNumber">
    <w:name w:val="AIR Number"/>
    <w:uiPriority w:val="99"/>
    <w:pPr>
      <w:numPr>
        <w:numId w:val="2"/>
      </w:numPr>
    </w:pPr>
  </w:style>
  <w:style w:type="numbering" w:customStyle="1" w:styleId="AIRTableBullet">
    <w:name w:val="AIR Table Bullet"/>
    <w:uiPriority w:val="99"/>
    <w:pPr>
      <w:numPr>
        <w:numId w:val="3"/>
      </w:numPr>
    </w:pPr>
  </w:style>
  <w:style w:type="numbering" w:customStyle="1" w:styleId="AIRTableNumbering">
    <w:name w:val="AIR Table Numbering"/>
    <w:uiPriority w:val="99"/>
    <w:pPr>
      <w:numPr>
        <w:numId w:val="4"/>
      </w:numPr>
    </w:pPr>
  </w:style>
  <w:style w:type="paragraph" w:customStyle="1" w:styleId="Bullet1">
    <w:name w:val="Bullet 1"/>
    <w:basedOn w:val="BodyText"/>
    <w:uiPriority w:val="4"/>
    <w:qFormat/>
    <w:pPr>
      <w:keepLines/>
      <w:numPr>
        <w:numId w:val="25"/>
      </w:numPr>
      <w:spacing w:before="120"/>
    </w:pPr>
  </w:style>
  <w:style w:type="paragraph" w:styleId="BodyText">
    <w:name w:val="Body Text"/>
    <w:link w:val="BodyTextChar"/>
    <w:qFormat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uiPriority w:val="4"/>
    <w:qFormat/>
    <w:pPr>
      <w:keepLines/>
      <w:numPr>
        <w:ilvl w:val="1"/>
        <w:numId w:val="25"/>
      </w:numPr>
      <w:spacing w:before="120"/>
    </w:pPr>
  </w:style>
  <w:style w:type="paragraph" w:customStyle="1" w:styleId="Bullet3">
    <w:name w:val="Bullet 3"/>
    <w:basedOn w:val="BodyText"/>
    <w:uiPriority w:val="4"/>
    <w:qFormat/>
    <w:pPr>
      <w:keepLines/>
      <w:numPr>
        <w:ilvl w:val="2"/>
        <w:numId w:val="25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6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28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 w:line="240" w:lineRule="auto"/>
    </w:pPr>
    <w:rPr>
      <w:rFonts w:asciiTheme="majorHAnsi" w:eastAsia="Times New Roman" w:hAnsiTheme="majorHAnsi" w:cs="Times New Roman"/>
      <w:b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03C9C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03C9C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103C9C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03C9C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pPr>
      <w:spacing w:after="0" w:line="240" w:lineRule="auto"/>
    </w:pPr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03C9C" w:themeColor="text2"/>
        <w:bottom w:val="single" w:sz="12" w:space="3" w:color="103C9C" w:themeColor="text2"/>
      </w:pBdr>
      <w:spacing w:before="120" w:after="120" w:line="240" w:lineRule="auto"/>
      <w:ind w:left="720" w:right="720"/>
      <w:jc w:val="center"/>
    </w:pPr>
    <w:rPr>
      <w:rFonts w:asciiTheme="majorHAnsi" w:eastAsia="Times New Roman" w:hAnsiTheme="majorHAnsi" w:cstheme="majorHAnsi"/>
      <w:i/>
      <w:color w:val="103C9C" w:themeColor="text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1VFS001\Groups\Editing\___Templates_Word-PPT\Talent%20for%20Turnaround%20(16-6088)\TalentForTurnaround_Handout_Portrait_060216.dotx" TargetMode="External"/></Relationships>
</file>

<file path=word/theme/theme1.xml><?xml version="1.0" encoding="utf-8"?>
<a:theme xmlns:a="http://schemas.openxmlformats.org/drawingml/2006/main" name="Office Theme">
  <a:themeElements>
    <a:clrScheme name="Talent for Turnaround Word">
      <a:dk1>
        <a:srgbClr val="000000"/>
      </a:dk1>
      <a:lt1>
        <a:srgbClr val="FFFFFF"/>
      </a:lt1>
      <a:dk2>
        <a:srgbClr val="103C9C"/>
      </a:dk2>
      <a:lt2>
        <a:srgbClr val="D4D4D4"/>
      </a:lt2>
      <a:accent1>
        <a:srgbClr val="3175A5"/>
      </a:accent1>
      <a:accent2>
        <a:srgbClr val="84B2DE"/>
      </a:accent2>
      <a:accent3>
        <a:srgbClr val="103C9C"/>
      </a:accent3>
      <a:accent4>
        <a:srgbClr val="F7C7A5"/>
      </a:accent4>
      <a:accent5>
        <a:srgbClr val="8CD7C6"/>
      </a:accent5>
      <a:accent6>
        <a:srgbClr val="298A6B"/>
      </a:accent6>
      <a:hlink>
        <a:srgbClr val="0000FF"/>
      </a:hlink>
      <a:folHlink>
        <a:srgbClr val="FF2F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TalentForTurnaround_Handout_Portrait_060216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Handout</vt:lpstr>
    </vt:vector>
  </TitlesOfParts>
  <Company>American Institutes for Research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Handout</dc:title>
  <dc:subject>AIR Handout</dc:subject>
  <dc:creator>Hammond, Sondra</dc:creator>
  <cp:lastModifiedBy>Zabala, Dalia</cp:lastModifiedBy>
  <cp:revision>3</cp:revision>
  <dcterms:created xsi:type="dcterms:W3CDTF">2017-04-25T14:21:00Z</dcterms:created>
  <dcterms:modified xsi:type="dcterms:W3CDTF">2017-04-25T14:22:00Z</dcterms:modified>
</cp:coreProperties>
</file>