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A7AE" w14:textId="77777777" w:rsidR="00D745CF" w:rsidRDefault="00576D7D" w:rsidP="00E14161">
      <w:pPr>
        <w:pStyle w:val="Title"/>
      </w:pPr>
      <w:r>
        <w:t>Equitable Access</w:t>
      </w:r>
      <w:r w:rsidR="00DE6EDE">
        <w:t>:</w:t>
      </w:r>
      <w:r>
        <w:t xml:space="preserve"> Example Metrics</w:t>
      </w:r>
    </w:p>
    <w:p w14:paraId="6FE5BC51" w14:textId="1E4AE025" w:rsidR="00E61D58" w:rsidRPr="00D46DA2" w:rsidRDefault="009D5B75" w:rsidP="00E61D58">
      <w:pPr>
        <w:pStyle w:val="BodyText"/>
        <w:rPr>
          <w:i/>
          <w:spacing w:val="-2"/>
        </w:rPr>
      </w:pPr>
      <w:r w:rsidRPr="00D46DA2">
        <w:rPr>
          <w:b/>
          <w:i/>
        </w:rPr>
        <w:t xml:space="preserve">Instructions: </w:t>
      </w:r>
      <w:r w:rsidR="00E61D58" w:rsidRPr="00D46DA2">
        <w:rPr>
          <w:i/>
        </w:rPr>
        <w:t>Consider the following metrics</w:t>
      </w:r>
      <w:r w:rsidR="00D46DA2" w:rsidRPr="00D46DA2">
        <w:rPr>
          <w:i/>
        </w:rPr>
        <w:t>, which</w:t>
      </w:r>
      <w:r w:rsidR="00E61D58" w:rsidRPr="00D46DA2">
        <w:rPr>
          <w:i/>
        </w:rPr>
        <w:t xml:space="preserve"> may be helpful as you analyze the </w:t>
      </w:r>
      <w:r w:rsidR="00FF00ED" w:rsidRPr="00D46DA2">
        <w:rPr>
          <w:i/>
        </w:rPr>
        <w:t>equity</w:t>
      </w:r>
      <w:r w:rsidR="00505752" w:rsidRPr="00D46DA2">
        <w:rPr>
          <w:i/>
        </w:rPr>
        <w:t xml:space="preserve"> gaps</w:t>
      </w:r>
      <w:r w:rsidR="00E61D58" w:rsidRPr="00D46DA2">
        <w:rPr>
          <w:i/>
        </w:rPr>
        <w:t xml:space="preserve"> in your </w:t>
      </w:r>
      <w:r w:rsidRPr="00D46DA2">
        <w:rPr>
          <w:i/>
        </w:rPr>
        <w:t>state</w:t>
      </w:r>
      <w:r w:rsidR="00D46DA2" w:rsidRPr="00D46DA2">
        <w:rPr>
          <w:i/>
        </w:rPr>
        <w:t>, through three steps:</w:t>
      </w:r>
      <w:r w:rsidR="00E61D58" w:rsidRPr="00D46DA2">
        <w:rPr>
          <w:i/>
        </w:rPr>
        <w:t xml:space="preserve"> </w:t>
      </w:r>
      <w:r w:rsidRPr="00D46DA2">
        <w:rPr>
          <w:i/>
          <w:spacing w:val="-2"/>
        </w:rPr>
        <w:t>(1)</w:t>
      </w:r>
      <w:r w:rsidR="00683D49" w:rsidRPr="00D46DA2">
        <w:rPr>
          <w:i/>
          <w:spacing w:val="-2"/>
        </w:rPr>
        <w:t> </w:t>
      </w:r>
      <w:r w:rsidR="00E61D58" w:rsidRPr="00D46DA2">
        <w:rPr>
          <w:i/>
          <w:spacing w:val="-2"/>
        </w:rPr>
        <w:t xml:space="preserve">Take inventory of data you have and do not have, </w:t>
      </w:r>
      <w:r w:rsidRPr="00D46DA2">
        <w:rPr>
          <w:i/>
          <w:spacing w:val="-2"/>
        </w:rPr>
        <w:t xml:space="preserve">(2) </w:t>
      </w:r>
      <w:r w:rsidR="00E61D58" w:rsidRPr="00D46DA2">
        <w:rPr>
          <w:i/>
          <w:spacing w:val="-2"/>
        </w:rPr>
        <w:t xml:space="preserve">assess whether these metrics are </w:t>
      </w:r>
      <w:r w:rsidR="00552441" w:rsidRPr="00D46DA2">
        <w:rPr>
          <w:i/>
          <w:spacing w:val="-2"/>
        </w:rPr>
        <w:t xml:space="preserve">useful </w:t>
      </w:r>
      <w:r w:rsidR="00E61D58" w:rsidRPr="00D46DA2">
        <w:rPr>
          <w:i/>
          <w:spacing w:val="-2"/>
        </w:rPr>
        <w:t xml:space="preserve">to </w:t>
      </w:r>
      <w:r w:rsidR="00552441" w:rsidRPr="00D46DA2">
        <w:rPr>
          <w:i/>
          <w:spacing w:val="-2"/>
        </w:rPr>
        <w:t>drive decisions on equitable access</w:t>
      </w:r>
      <w:r w:rsidR="00FF00ED" w:rsidRPr="00D46DA2">
        <w:rPr>
          <w:i/>
          <w:spacing w:val="-2"/>
        </w:rPr>
        <w:t xml:space="preserve"> to </w:t>
      </w:r>
      <w:r w:rsidR="00FF00ED" w:rsidRPr="00D46DA2">
        <w:rPr>
          <w:i/>
          <w:spacing w:val="-4"/>
        </w:rPr>
        <w:t>excellent educators for all students</w:t>
      </w:r>
      <w:r w:rsidR="00003441" w:rsidRPr="00D46DA2">
        <w:rPr>
          <w:i/>
          <w:spacing w:val="-4"/>
        </w:rPr>
        <w:t>,</w:t>
      </w:r>
      <w:r w:rsidRPr="00D46DA2">
        <w:rPr>
          <w:i/>
          <w:spacing w:val="-4"/>
        </w:rPr>
        <w:t xml:space="preserve"> </w:t>
      </w:r>
      <w:r w:rsidR="00D46DA2" w:rsidRPr="00D46DA2">
        <w:rPr>
          <w:i/>
          <w:spacing w:val="-4"/>
        </w:rPr>
        <w:t xml:space="preserve">and </w:t>
      </w:r>
      <w:r w:rsidRPr="00D46DA2">
        <w:rPr>
          <w:i/>
          <w:spacing w:val="-4"/>
        </w:rPr>
        <w:t>(3)</w:t>
      </w:r>
      <w:r w:rsidR="00683D49" w:rsidRPr="00D46DA2">
        <w:rPr>
          <w:i/>
          <w:spacing w:val="-4"/>
        </w:rPr>
        <w:t> d</w:t>
      </w:r>
      <w:r w:rsidRPr="00D46DA2">
        <w:rPr>
          <w:i/>
          <w:spacing w:val="-4"/>
        </w:rPr>
        <w:t>etermine</w:t>
      </w:r>
      <w:r w:rsidR="00E61D58" w:rsidRPr="00D46DA2">
        <w:rPr>
          <w:i/>
          <w:spacing w:val="-4"/>
        </w:rPr>
        <w:t xml:space="preserve"> </w:t>
      </w:r>
      <w:r w:rsidR="000B2636" w:rsidRPr="00D46DA2">
        <w:rPr>
          <w:i/>
          <w:spacing w:val="-4"/>
        </w:rPr>
        <w:t xml:space="preserve">what </w:t>
      </w:r>
      <w:r w:rsidR="00552441" w:rsidRPr="00D46DA2">
        <w:rPr>
          <w:i/>
          <w:spacing w:val="-4"/>
        </w:rPr>
        <w:t>steps are needed</w:t>
      </w:r>
      <w:r w:rsidR="000B2636" w:rsidRPr="00D46DA2">
        <w:rPr>
          <w:i/>
          <w:spacing w:val="-4"/>
        </w:rPr>
        <w:t xml:space="preserve"> to collect meaningful </w:t>
      </w:r>
      <w:r w:rsidR="00552441" w:rsidRPr="00D46DA2">
        <w:rPr>
          <w:i/>
          <w:spacing w:val="-4"/>
        </w:rPr>
        <w:t xml:space="preserve">metrics that </w:t>
      </w:r>
      <w:r w:rsidR="000B2636" w:rsidRPr="00D46DA2">
        <w:rPr>
          <w:i/>
          <w:spacing w:val="-4"/>
        </w:rPr>
        <w:t xml:space="preserve">currently </w:t>
      </w:r>
      <w:r w:rsidR="00D46DA2" w:rsidRPr="00D46DA2">
        <w:rPr>
          <w:i/>
          <w:spacing w:val="-4"/>
        </w:rPr>
        <w:t xml:space="preserve">are </w:t>
      </w:r>
      <w:r w:rsidR="000B2636" w:rsidRPr="00D46DA2">
        <w:rPr>
          <w:i/>
          <w:spacing w:val="-4"/>
        </w:rPr>
        <w:t>unavailable</w:t>
      </w:r>
      <w:r w:rsidR="00E61D58" w:rsidRPr="00D46DA2">
        <w:rPr>
          <w:i/>
          <w:spacing w:val="-2"/>
        </w:rPr>
        <w:t>.</w:t>
      </w:r>
    </w:p>
    <w:p w14:paraId="5B7654CD" w14:textId="5A5CAF1A" w:rsidR="007B06CB" w:rsidRPr="00E61D58" w:rsidRDefault="007B06CB" w:rsidP="007B06CB">
      <w:pPr>
        <w:pStyle w:val="BodyText"/>
        <w:rPr>
          <w:i/>
        </w:rPr>
      </w:pPr>
      <w:r>
        <w:rPr>
          <w:i/>
        </w:rPr>
        <w:t>Note: The level at which these metrics are available is intentionally left ambiguous. As you review this menu of metrics, consider at what level each of them would be available</w:t>
      </w:r>
      <w:r w:rsidR="000155EB">
        <w:rPr>
          <w:i/>
        </w:rPr>
        <w:t>:</w:t>
      </w:r>
      <w:r>
        <w:rPr>
          <w:i/>
        </w:rPr>
        <w:t xml:space="preserve"> district level, school level, classroom level, or even individual student level.</w:t>
      </w:r>
    </w:p>
    <w:p w14:paraId="65A03388" w14:textId="77777777" w:rsidR="00E61D58" w:rsidRPr="00E61D58" w:rsidRDefault="00E61D58" w:rsidP="00E61D58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071"/>
        <w:gridCol w:w="2068"/>
        <w:gridCol w:w="2611"/>
      </w:tblGrid>
      <w:tr w:rsidR="00EE4B39" w:rsidRPr="00576D7D" w14:paraId="0DEE5A3F" w14:textId="77777777" w:rsidTr="00EE4B39">
        <w:trPr>
          <w:trHeight w:val="300"/>
          <w:tblHeader/>
        </w:trPr>
        <w:tc>
          <w:tcPr>
            <w:tcW w:w="2435" w:type="pct"/>
            <w:vMerge w:val="restart"/>
            <w:shd w:val="clear" w:color="auto" w:fill="B5C7DB" w:themeFill="text2" w:themeFillTint="66"/>
            <w:noWrap/>
            <w:vAlign w:val="center"/>
          </w:tcPr>
          <w:p w14:paraId="4DE5DA4C" w14:textId="77777777" w:rsidR="00EE4B39" w:rsidRPr="00E86B02" w:rsidRDefault="00EE4B39" w:rsidP="009839E6">
            <w:pPr>
              <w:spacing w:before="40" w:after="4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86B02">
              <w:rPr>
                <w:rFonts w:eastAsia="Times New Roman" w:cstheme="minorHAnsi"/>
                <w:b/>
                <w:color w:val="000000"/>
              </w:rPr>
              <w:t>Metrics</w:t>
            </w:r>
          </w:p>
        </w:tc>
        <w:tc>
          <w:tcPr>
            <w:tcW w:w="2565" w:type="pct"/>
            <w:gridSpan w:val="3"/>
            <w:shd w:val="clear" w:color="auto" w:fill="B5C7DB" w:themeFill="text2" w:themeFillTint="66"/>
          </w:tcPr>
          <w:p w14:paraId="05F4730C" w14:textId="77777777" w:rsidR="00EE4B39" w:rsidRDefault="00EE4B39" w:rsidP="00C06C55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Considerations for Your State’s Metric Choice</w:t>
            </w:r>
          </w:p>
        </w:tc>
      </w:tr>
      <w:tr w:rsidR="00EE4B39" w:rsidRPr="00576D7D" w14:paraId="0E9ABA2C" w14:textId="77777777" w:rsidTr="008B0A1D">
        <w:trPr>
          <w:trHeight w:val="300"/>
          <w:tblHeader/>
        </w:trPr>
        <w:tc>
          <w:tcPr>
            <w:tcW w:w="2435" w:type="pct"/>
            <w:vMerge/>
            <w:shd w:val="clear" w:color="auto" w:fill="B5C7DB" w:themeFill="text2" w:themeFillTint="66"/>
            <w:noWrap/>
            <w:vAlign w:val="center"/>
          </w:tcPr>
          <w:p w14:paraId="0C08CFEC" w14:textId="77777777" w:rsidR="00EE4B39" w:rsidRPr="00E86B02" w:rsidRDefault="00EE4B39" w:rsidP="009839E6">
            <w:pPr>
              <w:spacing w:before="40" w:after="4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787" w:type="pct"/>
            <w:shd w:val="clear" w:color="auto" w:fill="B5C7DB" w:themeFill="text2" w:themeFillTint="66"/>
          </w:tcPr>
          <w:p w14:paraId="491D4A94" w14:textId="77777777" w:rsidR="00EE4B39" w:rsidRDefault="00EE4B39" w:rsidP="00C06C55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(1)</w:t>
            </w:r>
          </w:p>
          <w:p w14:paraId="03C2F24D" w14:textId="77777777" w:rsidR="00EC42A1" w:rsidRDefault="00EE4B39" w:rsidP="00EC42A1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Does your state have these metrics? (Y</w:t>
            </w:r>
            <w:r w:rsidR="007B06CB">
              <w:rPr>
                <w:rFonts w:eastAsia="Times New Roman" w:cstheme="minorHAnsi"/>
                <w:b/>
                <w:bCs/>
                <w:color w:val="000000"/>
                <w:sz w:val="22"/>
              </w:rPr>
              <w:t>ES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/N</w:t>
            </w:r>
            <w:r w:rsidR="007B06CB">
              <w:rPr>
                <w:rFonts w:eastAsia="Times New Roman" w:cstheme="minorHAnsi"/>
                <w:b/>
                <w:bCs/>
                <w:color w:val="000000"/>
                <w:sz w:val="22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/</w:t>
            </w:r>
          </w:p>
          <w:p w14:paraId="68D621FA" w14:textId="77777777" w:rsidR="00EE4B39" w:rsidRPr="00576D7D" w:rsidRDefault="007B06CB" w:rsidP="00EC42A1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UNKNOWN</w:t>
            </w:r>
            <w:r w:rsidR="00EC42A1">
              <w:rPr>
                <w:rFonts w:eastAsia="Times New Roman" w:cstheme="minorHAnsi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86" w:type="pct"/>
            <w:shd w:val="clear" w:color="auto" w:fill="B5C7DB" w:themeFill="text2" w:themeFillTint="66"/>
            <w:noWrap/>
          </w:tcPr>
          <w:p w14:paraId="79E261E3" w14:textId="77777777" w:rsidR="00EE4B39" w:rsidRDefault="00EE4B39" w:rsidP="00C06C55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(2)</w:t>
            </w:r>
          </w:p>
          <w:p w14:paraId="7CD23B25" w14:textId="77777777" w:rsidR="00EE4B39" w:rsidRPr="00576D7D" w:rsidRDefault="00EE4B39" w:rsidP="007B06CB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Are these metrics meaningful indicators of equitable access? (Y</w:t>
            </w:r>
            <w:r w:rsidR="007B06CB">
              <w:rPr>
                <w:rFonts w:eastAsia="Times New Roman" w:cstheme="minorHAnsi"/>
                <w:b/>
                <w:bCs/>
                <w:color w:val="000000"/>
                <w:sz w:val="22"/>
              </w:rPr>
              <w:t>ES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/N</w:t>
            </w:r>
            <w:r w:rsidR="007B06CB">
              <w:rPr>
                <w:rFonts w:eastAsia="Times New Roman" w:cstheme="minorHAnsi"/>
                <w:b/>
                <w:bCs/>
                <w:color w:val="000000"/>
                <w:sz w:val="22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92" w:type="pct"/>
            <w:shd w:val="clear" w:color="auto" w:fill="B5C7DB" w:themeFill="text2" w:themeFillTint="66"/>
            <w:noWrap/>
          </w:tcPr>
          <w:p w14:paraId="2833FA0C" w14:textId="77777777" w:rsidR="00EE4B39" w:rsidRDefault="00EE4B39" w:rsidP="00C06C55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(3)</w:t>
            </w:r>
          </w:p>
          <w:p w14:paraId="6D0C5EB8" w14:textId="1E452E40" w:rsidR="00EE4B39" w:rsidRPr="00576D7D" w:rsidRDefault="00EE4B39" w:rsidP="008B0A1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If meaningful but currently unavailable, what would it take for your state </w:t>
            </w:r>
            <w:r w:rsidR="00C76AB3"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collect </w:t>
            </w:r>
            <w:r w:rsidR="00880E05">
              <w:rPr>
                <w:rFonts w:eastAsia="Times New Roman" w:cstheme="minorHAnsi"/>
                <w:b/>
                <w:bCs/>
                <w:color w:val="000000"/>
                <w:sz w:val="22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these metrics</w:t>
            </w:r>
            <w:r w:rsidR="008B0A1D">
              <w:rPr>
                <w:rFonts w:eastAsia="Times New Roman" w:cstheme="minorHAnsi"/>
                <w:b/>
                <w:bCs/>
                <w:color w:val="000000"/>
                <w:sz w:val="22"/>
              </w:rPr>
              <w:t>?</w:t>
            </w:r>
          </w:p>
        </w:tc>
      </w:tr>
      <w:tr w:rsidR="00DF7950" w:rsidRPr="00576D7D" w14:paraId="1FE5AF73" w14:textId="77777777" w:rsidTr="008B0A1D">
        <w:trPr>
          <w:trHeight w:val="300"/>
        </w:trPr>
        <w:tc>
          <w:tcPr>
            <w:tcW w:w="2435" w:type="pct"/>
            <w:shd w:val="clear" w:color="auto" w:fill="D8E2ED" w:themeFill="accent1" w:themeFillTint="33"/>
            <w:noWrap/>
            <w:vAlign w:val="bottom"/>
          </w:tcPr>
          <w:p w14:paraId="60E4F13D" w14:textId="550C6DC2" w:rsidR="002150F6" w:rsidRPr="00576D7D" w:rsidRDefault="006D742E" w:rsidP="00825025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RECRUIT</w:t>
            </w:r>
            <w:r w:rsidR="00923F13">
              <w:rPr>
                <w:rFonts w:eastAsia="Times New Roman" w:cstheme="minorHAnsi"/>
                <w:b/>
                <w:bCs/>
                <w:color w:val="000000"/>
                <w:sz w:val="22"/>
              </w:rPr>
              <w:t>MENT</w:t>
            </w:r>
          </w:p>
        </w:tc>
        <w:tc>
          <w:tcPr>
            <w:tcW w:w="787" w:type="pct"/>
            <w:shd w:val="clear" w:color="auto" w:fill="D8E2ED" w:themeFill="accent1" w:themeFillTint="33"/>
            <w:vAlign w:val="center"/>
          </w:tcPr>
          <w:p w14:paraId="4A07A766" w14:textId="77777777" w:rsidR="002150F6" w:rsidRDefault="002150F6" w:rsidP="00AB3151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8E2ED" w:themeFill="accent1" w:themeFillTint="33"/>
            <w:noWrap/>
            <w:vAlign w:val="center"/>
          </w:tcPr>
          <w:p w14:paraId="22ADBFA9" w14:textId="77777777" w:rsidR="002150F6" w:rsidRDefault="002150F6" w:rsidP="00AB3151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center"/>
          </w:tcPr>
          <w:p w14:paraId="7E9E746F" w14:textId="77777777" w:rsidR="002150F6" w:rsidRDefault="002150F6" w:rsidP="00AB3151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</w:p>
        </w:tc>
      </w:tr>
      <w:tr w:rsidR="00DF7950" w:rsidRPr="003C2FF7" w14:paraId="367F07E4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46E4" w14:textId="77777777" w:rsidR="002150F6" w:rsidRPr="003C2FF7" w:rsidRDefault="002150F6" w:rsidP="00880E05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# of applicants per teaching vacancy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5F0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C900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E369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864067" w:rsidRPr="003C2FF7" w14:paraId="1A2279CB" w14:textId="77777777" w:rsidTr="000155EB">
        <w:trPr>
          <w:trHeight w:val="584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F7D2" w14:textId="7D67A743" w:rsidR="00864067" w:rsidRPr="003C2FF7" w:rsidRDefault="00864067" w:rsidP="00864067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# of applicants per principal vacancy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48B" w14:textId="77777777" w:rsidR="00864067" w:rsidRPr="00576D7D" w:rsidRDefault="00864067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78B6" w14:textId="77777777" w:rsidR="00864067" w:rsidRPr="00576D7D" w:rsidRDefault="00864067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AB25" w14:textId="77777777" w:rsidR="00864067" w:rsidRPr="00576D7D" w:rsidRDefault="00864067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DF7950" w:rsidRPr="003C2FF7" w14:paraId="32A244AA" w14:textId="77777777" w:rsidTr="000155EB">
        <w:trPr>
          <w:trHeight w:val="584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7A03" w14:textId="339504D7" w:rsidR="002150F6" w:rsidRPr="003C2FF7" w:rsidRDefault="002150F6" w:rsidP="00880E05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teaching positions vacant on first day of school</w:t>
            </w:r>
            <w:r w:rsidR="001758FA">
              <w:rPr>
                <w:rFonts w:eastAsia="Times New Roman" w:cstheme="minorHAnsi"/>
                <w:bCs/>
                <w:color w:val="000000"/>
                <w:sz w:val="22"/>
              </w:rPr>
              <w:t xml:space="preserve"> (or another specified date)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A2B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0EBC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1757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DF7950" w:rsidRPr="003C2FF7" w14:paraId="40120DB9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025B" w14:textId="58DB7D99" w:rsidR="002150F6" w:rsidRPr="003C2FF7" w:rsidRDefault="00F844B8" w:rsidP="00880E05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 of r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>ecruiting dollars spent per teaching vacancy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134E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84A7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FB79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DF7950" w:rsidRPr="003C2FF7" w14:paraId="2D45FC2B" w14:textId="77777777" w:rsidTr="000155EB">
        <w:trPr>
          <w:trHeight w:val="80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57F7" w14:textId="77777777" w:rsidR="002150F6" w:rsidRPr="003C2FF7" w:rsidRDefault="002150F6" w:rsidP="00880E05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nontraditional teachers (e.g., long-term substitutes, visiting teacher/exchange programs)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578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EA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E814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DF7950" w:rsidRPr="003C2FF7" w14:paraId="36039620" w14:textId="77777777" w:rsidTr="000155EB">
        <w:trPr>
          <w:trHeight w:val="66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BA3C" w14:textId="21CDA8B7" w:rsidR="002150F6" w:rsidRPr="003C2FF7" w:rsidRDefault="002150F6" w:rsidP="00880E05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lastRenderedPageBreak/>
              <w:t xml:space="preserve">% of alternatively certified </w:t>
            </w:r>
            <w:r w:rsidR="00864067">
              <w:rPr>
                <w:rFonts w:eastAsia="Times New Roman" w:cstheme="minorHAnsi"/>
                <w:bCs/>
                <w:color w:val="000000"/>
                <w:sz w:val="22"/>
              </w:rPr>
              <w:t xml:space="preserve">teacher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applicants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DFB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852A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71D3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</w:tc>
      </w:tr>
      <w:tr w:rsidR="00DF7950" w:rsidRPr="003C2FF7" w14:paraId="76F917F4" w14:textId="77777777" w:rsidTr="000155EB">
        <w:trPr>
          <w:trHeight w:val="6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27BC" w14:textId="3E1915D2" w:rsidR="002150F6" w:rsidRPr="003C2FF7" w:rsidRDefault="001C7B7E" w:rsidP="001C7B7E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>o</w:t>
            </w:r>
            <w:r w:rsidR="002150F6" w:rsidRPr="003D4DBE">
              <w:rPr>
                <w:rFonts w:eastAsia="Times New Roman" w:cstheme="minorHAnsi"/>
                <w:bCs/>
                <w:color w:val="000000"/>
                <w:sz w:val="22"/>
              </w:rPr>
              <w:t xml:space="preserve">f bilingual </w:t>
            </w:r>
            <w:r w:rsidR="00864067" w:rsidRPr="003D4DBE">
              <w:rPr>
                <w:rFonts w:eastAsia="Times New Roman" w:cstheme="minorHAnsi"/>
                <w:bCs/>
                <w:color w:val="000000"/>
                <w:sz w:val="22"/>
              </w:rPr>
              <w:t xml:space="preserve">teacher </w:t>
            </w:r>
            <w:r w:rsidR="002150F6" w:rsidRPr="003D4DBE">
              <w:rPr>
                <w:rFonts w:eastAsia="Times New Roman" w:cstheme="minorHAnsi"/>
                <w:bCs/>
                <w:color w:val="000000"/>
                <w:sz w:val="22"/>
              </w:rPr>
              <w:t>applicants</w:t>
            </w:r>
            <w:r w:rsidR="00EC42A1" w:rsidRPr="003D4DBE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per</w:t>
            </w:r>
            <w:r w:rsidR="007B06CB" w:rsidRPr="003D4DBE">
              <w:rPr>
                <w:rFonts w:eastAsia="Times New Roman" w:cstheme="minorHAnsi"/>
                <w:bCs/>
                <w:color w:val="000000"/>
                <w:sz w:val="22"/>
              </w:rPr>
              <w:t xml:space="preserve"> positions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689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D413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C07C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F7950" w:rsidRPr="003C2FF7" w14:paraId="778917C8" w14:textId="77777777" w:rsidTr="000155EB">
        <w:trPr>
          <w:trHeight w:val="629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F3B6" w14:textId="635E7F43" w:rsidR="002150F6" w:rsidRPr="003C2FF7" w:rsidRDefault="001C7B7E" w:rsidP="001C7B7E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of </w:t>
            </w:r>
            <w:r w:rsidR="000155EB">
              <w:rPr>
                <w:rFonts w:eastAsia="Times New Roman" w:cstheme="minorHAnsi"/>
                <w:bCs/>
                <w:color w:val="000000"/>
                <w:sz w:val="22"/>
              </w:rPr>
              <w:t>English as a Second Language–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certified </w:t>
            </w:r>
            <w:r w:rsidR="00864067">
              <w:rPr>
                <w:rFonts w:eastAsia="Times New Roman" w:cstheme="minorHAnsi"/>
                <w:bCs/>
                <w:color w:val="000000"/>
                <w:sz w:val="22"/>
              </w:rPr>
              <w:t xml:space="preserve">teacher 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>applicants</w:t>
            </w:r>
            <w:r w:rsidR="00E039F4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per</w:t>
            </w:r>
            <w:r w:rsidR="007B06CB">
              <w:rPr>
                <w:rFonts w:eastAsia="Times New Roman" w:cstheme="minorHAnsi"/>
                <w:bCs/>
                <w:color w:val="000000"/>
                <w:sz w:val="22"/>
              </w:rPr>
              <w:t xml:space="preserve"> positions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190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9FFD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7C1C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F7950" w:rsidRPr="003C2FF7" w14:paraId="740CEB43" w14:textId="77777777" w:rsidTr="000155EB">
        <w:trPr>
          <w:trHeight w:val="764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5D26" w14:textId="4950A305" w:rsidR="002150F6" w:rsidRPr="003C2FF7" w:rsidRDefault="001C7B7E" w:rsidP="001C7B7E">
            <w:pPr>
              <w:spacing w:before="120" w:after="12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>of Special Education</w:t>
            </w:r>
            <w:r w:rsidR="000155EB">
              <w:rPr>
                <w:rFonts w:eastAsia="Times New Roman" w:cstheme="minorHAnsi"/>
                <w:bCs/>
                <w:color w:val="000000"/>
                <w:sz w:val="22"/>
              </w:rPr>
              <w:t>–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certified </w:t>
            </w:r>
            <w:r w:rsidR="00864067">
              <w:rPr>
                <w:rFonts w:eastAsia="Times New Roman" w:cstheme="minorHAnsi"/>
                <w:bCs/>
                <w:color w:val="000000"/>
                <w:sz w:val="22"/>
              </w:rPr>
              <w:t xml:space="preserve">teacher </w:t>
            </w:r>
            <w:r w:rsidR="002150F6" w:rsidRPr="003C2FF7">
              <w:rPr>
                <w:rFonts w:eastAsia="Times New Roman" w:cstheme="minorHAnsi"/>
                <w:bCs/>
                <w:color w:val="000000"/>
                <w:sz w:val="22"/>
              </w:rPr>
              <w:t>applicants</w:t>
            </w:r>
            <w:r w:rsidR="00E039F4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per </w:t>
            </w:r>
            <w:r w:rsidR="007B06CB">
              <w:rPr>
                <w:rFonts w:eastAsia="Times New Roman" w:cstheme="minorHAnsi"/>
                <w:bCs/>
                <w:color w:val="000000"/>
                <w:sz w:val="22"/>
              </w:rPr>
              <w:t>positions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0A3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FAEC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01EF" w14:textId="77777777" w:rsidR="002150F6" w:rsidRPr="00576D7D" w:rsidRDefault="002150F6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F7950" w:rsidRPr="00576D7D" w14:paraId="7689EE08" w14:textId="77777777" w:rsidTr="008B0A1D">
        <w:trPr>
          <w:trHeight w:val="300"/>
        </w:trPr>
        <w:tc>
          <w:tcPr>
            <w:tcW w:w="2435" w:type="pct"/>
            <w:shd w:val="clear" w:color="auto" w:fill="DAE3ED" w:themeFill="text2" w:themeFillTint="33"/>
            <w:noWrap/>
            <w:vAlign w:val="bottom"/>
          </w:tcPr>
          <w:p w14:paraId="598D44AD" w14:textId="358AD321" w:rsidR="002150F6" w:rsidRPr="00825025" w:rsidRDefault="00923F13" w:rsidP="003D4DBE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RETENTION</w:t>
            </w:r>
          </w:p>
        </w:tc>
        <w:tc>
          <w:tcPr>
            <w:tcW w:w="787" w:type="pct"/>
            <w:shd w:val="clear" w:color="auto" w:fill="DAE3ED" w:themeFill="text2" w:themeFillTint="33"/>
            <w:vAlign w:val="center"/>
          </w:tcPr>
          <w:p w14:paraId="1B908567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AE3ED" w:themeFill="text2" w:themeFillTint="33"/>
            <w:noWrap/>
            <w:vAlign w:val="center"/>
          </w:tcPr>
          <w:p w14:paraId="125A911E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center"/>
          </w:tcPr>
          <w:p w14:paraId="377DF76D" w14:textId="77777777" w:rsidR="002150F6" w:rsidRPr="00576D7D" w:rsidRDefault="002150F6" w:rsidP="00C06C55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3F955CBB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D404" w14:textId="2E96FE9A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during the academic year 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br/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904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66F3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1940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60D9B40F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C286" w14:textId="047E845B" w:rsidR="00923F13" w:rsidDel="00923F13" w:rsidRDefault="00F844B8" w:rsidP="000C25F6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during the full year 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br/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D2B" w14:textId="696C0C35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5731" w14:textId="711D3E8B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D448" w14:textId="09F54CEA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923F13" w:rsidRPr="003C2FF7" w14:paraId="7C4A2202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AC4F" w14:textId="5B70708B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by teacher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or principal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race/ethnicity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D79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1EA7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C262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13F5E302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B026" w14:textId="5E809B7D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by student race/ethnicity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111F95">
              <w:rPr>
                <w:rFonts w:eastAsia="Times New Roman" w:cstheme="minorHAnsi"/>
                <w:bCs/>
                <w:color w:val="000000"/>
                <w:sz w:val="22"/>
              </w:rPr>
              <w:br/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108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9A14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D9DD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1D7DA54F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15CB" w14:textId="06D9EBF8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by </w:t>
            </w:r>
            <w:proofErr w:type="spellStart"/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FRPL</w:t>
            </w:r>
            <w:r w:rsidR="00923F13" w:rsidRPr="00AD329B">
              <w:rPr>
                <w:rFonts w:eastAsia="Times New Roman" w:cstheme="minorHAnsi"/>
                <w:bCs/>
                <w:color w:val="000000"/>
                <w:sz w:val="22"/>
                <w:vertAlign w:val="superscript"/>
              </w:rPr>
              <w:t>a</w:t>
            </w:r>
            <w:proofErr w:type="spellEnd"/>
            <w:r w:rsidR="00923F13">
              <w:rPr>
                <w:rFonts w:eastAsia="Times New Roman" w:cstheme="minorHAnsi"/>
                <w:bCs/>
                <w:color w:val="000000"/>
                <w:sz w:val="22"/>
                <w:vertAlign w:val="superscript"/>
              </w:rPr>
              <w:t xml:space="preserve"> </w:t>
            </w:r>
            <w:r w:rsidR="00111F95">
              <w:rPr>
                <w:rFonts w:eastAsia="Times New Roman" w:cstheme="minorHAnsi"/>
                <w:bCs/>
                <w:color w:val="000000"/>
                <w:sz w:val="22"/>
                <w:vertAlign w:val="superscript"/>
              </w:rPr>
              <w:br/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B90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B5F5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2809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16473606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594A" w14:textId="713E4F99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lastRenderedPageBreak/>
              <w:t>%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by student achievement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111F95">
              <w:rPr>
                <w:rFonts w:eastAsia="Times New Roman" w:cstheme="minorHAnsi"/>
                <w:bCs/>
                <w:color w:val="000000"/>
                <w:sz w:val="22"/>
              </w:rPr>
              <w:br/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3037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A0FF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2982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671C7208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3574" w14:textId="7E809DDC" w:rsidR="00923F13" w:rsidDel="00923F13" w:rsidRDefault="00F844B8" w:rsidP="00F844B8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and principal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s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leaving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by evaluation rating </w:t>
            </w:r>
            <w:r w:rsidR="00111F95">
              <w:rPr>
                <w:rFonts w:eastAsia="Times New Roman" w:cstheme="minorHAnsi"/>
                <w:bCs/>
                <w:color w:val="000000"/>
                <w:sz w:val="22"/>
              </w:rPr>
              <w:br/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(not including reductions in force)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99A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8973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FF2E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3D4DBE" w:rsidRPr="00576D7D" w14:paraId="5FC849F5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618C5C47" w14:textId="2AB33928" w:rsidR="003D4DBE" w:rsidRPr="00576D7D" w:rsidDel="00923F13" w:rsidRDefault="003D4DBE" w:rsidP="00825025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teachers leaving who live outside school community or geographic area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0BCEEE0" w14:textId="38A4820F" w:rsidR="003D4DBE" w:rsidRPr="00576D7D" w:rsidRDefault="003D4DBE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4B24F478" w14:textId="1A1E3AB7" w:rsidR="003D4DBE" w:rsidRPr="00576D7D" w:rsidRDefault="003D4DBE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63C38B6A" w14:textId="14BF39FA" w:rsidR="003D4DBE" w:rsidRPr="00576D7D" w:rsidRDefault="003D4DBE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2D1D8A" w:rsidRPr="00576D7D" w14:paraId="6EEB4146" w14:textId="77777777" w:rsidTr="008B0A1D">
        <w:trPr>
          <w:trHeight w:val="300"/>
        </w:trPr>
        <w:tc>
          <w:tcPr>
            <w:tcW w:w="2435" w:type="pct"/>
            <w:shd w:val="clear" w:color="auto" w:fill="DAE3ED" w:themeFill="text2" w:themeFillTint="33"/>
            <w:noWrap/>
            <w:vAlign w:val="bottom"/>
          </w:tcPr>
          <w:p w14:paraId="5FAB10DC" w14:textId="084A0F2D" w:rsidR="002D1D8A" w:rsidRPr="00825025" w:rsidRDefault="00923F13" w:rsidP="00825025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QUALIFICATIONS</w:t>
            </w:r>
          </w:p>
        </w:tc>
        <w:tc>
          <w:tcPr>
            <w:tcW w:w="787" w:type="pct"/>
            <w:shd w:val="clear" w:color="auto" w:fill="DAE3ED" w:themeFill="text2" w:themeFillTint="33"/>
            <w:vAlign w:val="bottom"/>
          </w:tcPr>
          <w:p w14:paraId="40B2A38F" w14:textId="77777777" w:rsidR="002D1D8A" w:rsidRPr="00576D7D" w:rsidRDefault="002D1D8A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AE3ED" w:themeFill="text2" w:themeFillTint="33"/>
            <w:noWrap/>
            <w:vAlign w:val="bottom"/>
          </w:tcPr>
          <w:p w14:paraId="20398469" w14:textId="77777777" w:rsidR="002D1D8A" w:rsidRPr="00576D7D" w:rsidRDefault="002D1D8A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bottom"/>
          </w:tcPr>
          <w:p w14:paraId="5999735B" w14:textId="77777777" w:rsidR="002D1D8A" w:rsidRPr="00576D7D" w:rsidRDefault="002D1D8A" w:rsidP="00C06C55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09D53D25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7A66" w14:textId="2013BB85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teachers teaching outside of their licensure area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707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E792" w14:textId="300DAB8B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F38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0ED2C4B9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CD0C" w14:textId="177ABF40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teachers teaching on provisional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/emergency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license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32D4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D752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1245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374E98B5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3337" w14:textId="2C7E7968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National Board Certified teachers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41B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A274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2365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6DE4BFED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EA1E" w14:textId="0B04593C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principals with state certification based on Interstate School Leaders Licensure Consortium (ISLLC) standards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3C7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1994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3D20" w14:textId="77777777" w:rsidR="00923F13" w:rsidRPr="00576D7D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021C32F2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3355" w14:textId="3AF2880C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# of teachers with a master’s degree in a content area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012B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BECA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21FF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3ACEE4D0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6779" w14:textId="055A177E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# of teachers with a master’s degree in a non-content area (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e.g., 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education leadership, curriculum specialist, elementary education, special education)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1D0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95FE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0DAA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7AA45CC1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072F" w14:textId="6C43FC29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# of teachers with advanced coursework in a content area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E1B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A190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DF9E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704FD742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9946" w14:textId="0EE9764D" w:rsidR="00923F13" w:rsidRPr="00576D7D" w:rsidDel="00923F13" w:rsidRDefault="006F14B0" w:rsidP="00DF7950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Distribution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 class assignments (e.g., remedial, Advanced Placement) by teacher credentials (e.g., certification, postsecondary degrees)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E30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940F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B4E7" w14:textId="77777777" w:rsidR="00923F13" w:rsidRPr="00576D7D" w:rsidDel="00923F13" w:rsidRDefault="00923F13" w:rsidP="00DF7950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2D1D8A" w:rsidRPr="00576D7D" w14:paraId="24A0A192" w14:textId="77777777" w:rsidTr="002D1D8A">
        <w:trPr>
          <w:trHeight w:val="302"/>
        </w:trPr>
        <w:tc>
          <w:tcPr>
            <w:tcW w:w="2435" w:type="pct"/>
            <w:shd w:val="clear" w:color="auto" w:fill="DAE3ED" w:themeFill="text2" w:themeFillTint="33"/>
            <w:noWrap/>
            <w:vAlign w:val="bottom"/>
          </w:tcPr>
          <w:p w14:paraId="7466E194" w14:textId="1C34E593" w:rsidR="002D1D8A" w:rsidRPr="00825025" w:rsidRDefault="00923F13" w:rsidP="00825025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EXPERIENCE</w:t>
            </w:r>
          </w:p>
        </w:tc>
        <w:tc>
          <w:tcPr>
            <w:tcW w:w="787" w:type="pct"/>
            <w:shd w:val="clear" w:color="auto" w:fill="DAE3ED" w:themeFill="text2" w:themeFillTint="33"/>
            <w:vAlign w:val="center"/>
          </w:tcPr>
          <w:p w14:paraId="29E8E114" w14:textId="77777777" w:rsidR="002D1D8A" w:rsidRPr="00576D7D" w:rsidRDefault="002D1D8A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AE3ED" w:themeFill="text2" w:themeFillTint="33"/>
            <w:noWrap/>
            <w:vAlign w:val="center"/>
          </w:tcPr>
          <w:p w14:paraId="660F8EE9" w14:textId="77777777" w:rsidR="002D1D8A" w:rsidRPr="00576D7D" w:rsidRDefault="002D1D8A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center"/>
          </w:tcPr>
          <w:p w14:paraId="7DEA67E4" w14:textId="77777777" w:rsidR="002D1D8A" w:rsidRPr="00576D7D" w:rsidRDefault="002D1D8A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030F98AF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DD50" w14:textId="795CEE0C" w:rsidR="00923F13" w:rsidRPr="003C2FF7" w:rsidRDefault="00923F13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in their first year of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teaching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E7C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AC45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A902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2C5227BA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82E4" w14:textId="0E30F571" w:rsidR="00923F13" w:rsidRPr="003C2FF7" w:rsidRDefault="00923F13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with less than </w:t>
            </w:r>
            <w:r w:rsidR="00AA2C2D">
              <w:rPr>
                <w:rFonts w:eastAsia="Times New Roman" w:cstheme="minorHAnsi"/>
                <w:bCs/>
                <w:color w:val="000000"/>
                <w:sz w:val="22"/>
              </w:rPr>
              <w:t>four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years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of teaching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experience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E7A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7C82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4711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7252DA5D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1DA" w14:textId="0B8EC821" w:rsidR="00923F13" w:rsidRPr="003C2FF7" w:rsidRDefault="006F14B0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 of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years of 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teachers’ </w:t>
            </w:r>
            <w:r w:rsidR="00923F13" w:rsidRPr="003C2FF7">
              <w:rPr>
                <w:rFonts w:eastAsia="Times New Roman" w:cstheme="minorHAnsi"/>
                <w:bCs/>
                <w:color w:val="000000"/>
                <w:sz w:val="22"/>
              </w:rPr>
              <w:t>previous teaching experience (average)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E68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CE0D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9347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7506DCA6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9433" w14:textId="760ABD17" w:rsidR="00923F13" w:rsidRPr="003C2FF7" w:rsidRDefault="00923F13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leaders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in their first year as a building principal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28E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5D1C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C7BF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01353908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55B2" w14:textId="6DD75640" w:rsidR="00923F13" w:rsidRPr="003C2FF7" w:rsidRDefault="00923F13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leade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rs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with less than </w:t>
            </w:r>
            <w:r w:rsidR="00AA2C2D">
              <w:rPr>
                <w:rFonts w:eastAsia="Times New Roman" w:cstheme="minorHAnsi"/>
                <w:bCs/>
                <w:color w:val="000000"/>
                <w:sz w:val="22"/>
              </w:rPr>
              <w:t>four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years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of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experience as a building principal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AF2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345E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B471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0F357276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64AC" w14:textId="41F6F4DA" w:rsidR="00923F13" w:rsidRPr="003C2FF7" w:rsidRDefault="006F14B0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 of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years of leaders’ previous leadership experience as a building principal (average)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B37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C2B4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564B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0ECF4778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ED85" w14:textId="4D260C84" w:rsidR="00923F13" w:rsidRPr="003C2FF7" w:rsidDel="00923F13" w:rsidRDefault="00923F13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teachers with experience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in current teaching assignment (average)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367" w14:textId="47BAFB78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C953" w14:textId="6B4E0A6D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4600" w14:textId="2BF2DDA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923F13" w:rsidRPr="00576D7D" w14:paraId="53AC0EE4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CB75" w14:textId="679DF613" w:rsidR="00923F13" w:rsidRPr="003C2FF7" w:rsidDel="00923F13" w:rsidRDefault="006F14B0" w:rsidP="00C012F3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Distribution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 class assignments (e.g., remedial, Advanced Placement) by teaching experience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5FE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369F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5830" w14:textId="77777777" w:rsidR="00923F13" w:rsidRPr="00576D7D" w:rsidRDefault="00923F13" w:rsidP="00C012F3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4860D023" w14:textId="77777777" w:rsidTr="000846BB">
        <w:trPr>
          <w:trHeight w:val="302"/>
        </w:trPr>
        <w:tc>
          <w:tcPr>
            <w:tcW w:w="2435" w:type="pct"/>
            <w:shd w:val="clear" w:color="auto" w:fill="DAE3ED" w:themeFill="text2" w:themeFillTint="33"/>
            <w:noWrap/>
            <w:vAlign w:val="bottom"/>
          </w:tcPr>
          <w:p w14:paraId="74CCD8EC" w14:textId="25E1B419" w:rsidR="00923F13" w:rsidRPr="00825025" w:rsidRDefault="00DE16C2" w:rsidP="00DE16C2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PERFORMANCE</w:t>
            </w:r>
          </w:p>
        </w:tc>
        <w:tc>
          <w:tcPr>
            <w:tcW w:w="787" w:type="pct"/>
            <w:shd w:val="clear" w:color="auto" w:fill="DAE3ED" w:themeFill="text2" w:themeFillTint="33"/>
            <w:vAlign w:val="center"/>
          </w:tcPr>
          <w:p w14:paraId="71AABD35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AE3ED" w:themeFill="text2" w:themeFillTint="33"/>
            <w:noWrap/>
            <w:vAlign w:val="center"/>
          </w:tcPr>
          <w:p w14:paraId="3E29949D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center"/>
          </w:tcPr>
          <w:p w14:paraId="5C371656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395134BC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1DEAE984" w14:textId="76343BC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with </w:t>
            </w:r>
            <w:r w:rsidRPr="00C637FC">
              <w:rPr>
                <w:rFonts w:eastAsia="Times New Roman" w:cstheme="minorHAnsi"/>
                <w:bCs/>
                <w:i/>
                <w:color w:val="000000"/>
                <w:sz w:val="22"/>
              </w:rPr>
              <w:t>ineffective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evaluation ratings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580D4092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0F731628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4D25AC56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33D85660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09B52488" w14:textId="4CE625FF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with </w:t>
            </w:r>
            <w:r w:rsidRPr="00C637FC">
              <w:rPr>
                <w:rFonts w:eastAsia="Times New Roman" w:cstheme="minorHAnsi"/>
                <w:bCs/>
                <w:i/>
                <w:color w:val="000000"/>
                <w:sz w:val="22"/>
              </w:rPr>
              <w:t xml:space="preserve">highly effective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evaluation ratings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547225E" w14:textId="344C8646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14FE2307" w14:textId="76C7EEB6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749283D4" w14:textId="6F1DC0AA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</w:tr>
      <w:tr w:rsidR="00923F13" w:rsidRPr="00576D7D" w14:paraId="1195760E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10AC266E" w14:textId="63752008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achieving highest student growth category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br/>
              <w:t>in reading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74AF44C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518AD323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55D2C326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013C3B0C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50006BAB" w14:textId="1F5AD0DD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teachers achieving highest student growth category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br/>
              <w:t>in mathematics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B2F59EF" w14:textId="7A0B6EB8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229A055C" w14:textId="23A39124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09CC649B" w14:textId="5503D523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E3348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</w:p>
        </w:tc>
      </w:tr>
      <w:tr w:rsidR="00923F13" w:rsidRPr="00576D7D" w14:paraId="67FC03E8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44F975B9" w14:textId="0F148F5C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teachers achieving highest student growth category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,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as measured by student learning objectives in </w:t>
            </w:r>
            <w:proofErr w:type="spellStart"/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nontested</w:t>
            </w:r>
            <w:proofErr w:type="spellEnd"/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grades and subject.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1261B77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1DF8753B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5FB61978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5B2E7771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3FBE678C" w14:textId="22CC88A0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principals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with</w:t>
            </w:r>
            <w:r w:rsidRPr="00111F95">
              <w:rPr>
                <w:rFonts w:eastAsia="Times New Roman" w:cstheme="minorHAnsi"/>
                <w:bCs/>
                <w:i/>
                <w:color w:val="000000"/>
                <w:sz w:val="22"/>
              </w:rPr>
              <w:t xml:space="preserve"> ineffective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evaluation ratings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9741A6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73BE4455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65507892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08B6AE76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6AEFFC43" w14:textId="1BA2318D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principals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with </w:t>
            </w:r>
            <w:r w:rsidRPr="00111F95">
              <w:rPr>
                <w:rFonts w:eastAsia="Times New Roman" w:cstheme="minorHAnsi"/>
                <w:bCs/>
                <w:i/>
                <w:color w:val="000000"/>
                <w:sz w:val="22"/>
              </w:rPr>
              <w:t>highly effective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evaluation ratings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3AD847D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02C071BA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BD79688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436D3E4E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1B397605" w14:textId="3853B661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principals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achieving highest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category of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2"/>
              </w:rPr>
              <w:t>schoolwide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student growth percentiles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in reading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714CF3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43A1C36B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FD2C21A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571A2B6B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263A84C7" w14:textId="7E887E00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principals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achieving highest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category of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2"/>
              </w:rPr>
              <w:t>schoolwide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student growth percentiles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in mathematics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2E0493FF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00AE5EFA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3C7E5F48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16B32771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35F089C8" w14:textId="5556D33D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principals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achieving highest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category of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2"/>
              </w:rPr>
              <w:t>schoolwide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 student growth percentiles,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as measured by student learning objectives in </w:t>
            </w:r>
            <w:proofErr w:type="spellStart"/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nontested</w:t>
            </w:r>
            <w:proofErr w:type="spellEnd"/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grades and subject.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7E290F9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79E0A00F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3969461A" w14:textId="77777777" w:rsidR="00923F13" w:rsidRPr="00E3348C" w:rsidRDefault="00923F13" w:rsidP="000846BB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</w:tr>
      <w:tr w:rsidR="00923F13" w:rsidRPr="00576D7D" w14:paraId="1E3BE681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52EBB72A" w14:textId="40948C8B" w:rsidR="00923F13" w:rsidRDefault="006F14B0" w:rsidP="00C637FC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Distribution of t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>eacher class assignments (e.g., remedial, Advanced Placement) by teacher performance (i.e.</w:t>
            </w:r>
            <w:r w:rsidR="00C637FC">
              <w:rPr>
                <w:rFonts w:eastAsia="Times New Roman" w:cstheme="minorHAnsi"/>
                <w:bCs/>
                <w:color w:val="000000"/>
                <w:sz w:val="22"/>
              </w:rPr>
              <w:t>,</w:t>
            </w:r>
            <w:r w:rsidR="00923F13">
              <w:rPr>
                <w:rFonts w:eastAsia="Times New Roman" w:cstheme="minorHAnsi"/>
                <w:bCs/>
                <w:color w:val="000000"/>
                <w:sz w:val="22"/>
              </w:rPr>
              <w:t xml:space="preserve"> evaluation rating)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7DE9B14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71F0196A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30BFED5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E3348C" w:rsidRPr="00576D7D" w14:paraId="6FD134E9" w14:textId="77777777" w:rsidTr="00591DE6">
        <w:trPr>
          <w:trHeight w:val="720"/>
        </w:trPr>
        <w:tc>
          <w:tcPr>
            <w:tcW w:w="2435" w:type="pct"/>
            <w:shd w:val="clear" w:color="auto" w:fill="auto"/>
            <w:noWrap/>
            <w:vAlign w:val="center"/>
          </w:tcPr>
          <w:p w14:paraId="34BF7E74" w14:textId="0DA0BFDD" w:rsidR="00E3348C" w:rsidRDefault="00E3348C" w:rsidP="000846BB">
            <w:pPr>
              <w:spacing w:before="40" w:after="40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% of teachers absent more than 10 days per year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162E728" w14:textId="77777777" w:rsidR="00E3348C" w:rsidRPr="00576D7D" w:rsidRDefault="00E3348C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3A4ABA28" w14:textId="77777777" w:rsidR="00E3348C" w:rsidRPr="00576D7D" w:rsidRDefault="00E3348C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5FD45517" w14:textId="77777777" w:rsidR="00E3348C" w:rsidRPr="00576D7D" w:rsidRDefault="00E3348C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576D7D" w14:paraId="5DD20428" w14:textId="77777777" w:rsidTr="000846BB">
        <w:trPr>
          <w:trHeight w:val="302"/>
        </w:trPr>
        <w:tc>
          <w:tcPr>
            <w:tcW w:w="2435" w:type="pct"/>
            <w:shd w:val="clear" w:color="auto" w:fill="DAE3ED" w:themeFill="text2" w:themeFillTint="33"/>
            <w:noWrap/>
            <w:vAlign w:val="bottom"/>
          </w:tcPr>
          <w:p w14:paraId="451DA1F6" w14:textId="57589785" w:rsidR="00923F13" w:rsidRPr="00825025" w:rsidRDefault="00923F13" w:rsidP="000846BB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</w:rPr>
              <w:t>TEACHING AND LEARNING CONDITIONS</w:t>
            </w:r>
          </w:p>
        </w:tc>
        <w:tc>
          <w:tcPr>
            <w:tcW w:w="787" w:type="pct"/>
            <w:shd w:val="clear" w:color="auto" w:fill="DAE3ED" w:themeFill="text2" w:themeFillTint="33"/>
            <w:vAlign w:val="center"/>
          </w:tcPr>
          <w:p w14:paraId="1CDB2CA4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shd w:val="clear" w:color="auto" w:fill="DAE3ED" w:themeFill="text2" w:themeFillTint="33"/>
            <w:noWrap/>
            <w:vAlign w:val="center"/>
          </w:tcPr>
          <w:p w14:paraId="1F4C53FD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shd w:val="clear" w:color="auto" w:fill="DAE3ED" w:themeFill="text2" w:themeFillTint="33"/>
            <w:noWrap/>
            <w:vAlign w:val="center"/>
          </w:tcPr>
          <w:p w14:paraId="4E3EE488" w14:textId="77777777" w:rsidR="00923F13" w:rsidRPr="00576D7D" w:rsidRDefault="00923F13" w:rsidP="000846BB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923F13" w:rsidRPr="003C2FF7" w14:paraId="410B20C9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EF0E" w14:textId="23E096D3" w:rsidR="00923F13" w:rsidRPr="000A6BC3" w:rsidRDefault="00923F13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 xml:space="preserve">% of teachers who agree or strongly agree that the school is a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 xml:space="preserve">safe, 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supportive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,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 xml:space="preserve"> and inviting place (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 xml:space="preserve">per 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climate survey)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9F0" w14:textId="7A06E554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FB77" w14:textId="7598CF0F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BE73" w14:textId="024C62EC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923F13" w:rsidRPr="003C2FF7" w14:paraId="7611913F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B952" w14:textId="477B9D93" w:rsidR="00923F13" w:rsidRPr="000A6BC3" w:rsidRDefault="00923F13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% of teachers who agree or strongly agree that they are happy with working at their school (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 xml:space="preserve">per </w:t>
            </w:r>
            <w:r w:rsidRPr="003C2FF7">
              <w:rPr>
                <w:rFonts w:eastAsia="Times New Roman" w:cstheme="minorHAnsi"/>
                <w:bCs/>
                <w:color w:val="000000"/>
                <w:sz w:val="22"/>
              </w:rPr>
              <w:t>climate survey)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302A" w14:textId="6C58DFD4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AFFF" w14:textId="288FA72D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A354" w14:textId="2A0D370D" w:rsidR="00923F13" w:rsidRPr="00576D7D" w:rsidRDefault="00923F13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D84C20" w:rsidRPr="003C2FF7" w14:paraId="178E684B" w14:textId="77777777" w:rsidTr="003D4DBE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CE61" w14:textId="5A0B3B22" w:rsidR="00D84C20" w:rsidRPr="00576D7D" w:rsidRDefault="00D84C20" w:rsidP="009A608F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 xml:space="preserve">% of teachers with at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l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east 90 min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ute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s per week of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 xml:space="preserve"> 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collaborative planning time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44B0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11E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3EB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55B1937B" w14:textId="77777777" w:rsidTr="003D4DBE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DF2C" w14:textId="78E9905D" w:rsidR="00D84C20" w:rsidRPr="00576D7D" w:rsidRDefault="00D84C20" w:rsidP="009A608F">
            <w:pPr>
              <w:spacing w:before="40" w:after="40"/>
              <w:rPr>
                <w:rFonts w:eastAsia="Times New Roman" w:cstheme="minorHAnsi"/>
                <w:iCs/>
                <w:color w:val="000000"/>
                <w:sz w:val="22"/>
              </w:rPr>
            </w:pPr>
            <w:r w:rsidRPr="0025629C">
              <w:rPr>
                <w:rFonts w:eastAsia="Times New Roman" w:cstheme="minorHAnsi"/>
                <w:iCs/>
                <w:color w:val="000000"/>
                <w:sz w:val="22"/>
              </w:rPr>
              <w:t>% of teachers who agree or strongly agree that they have access to quality professio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nal development (per climate survey</w:t>
            </w:r>
            <w:r w:rsidRPr="0025629C">
              <w:rPr>
                <w:rFonts w:eastAsia="Times New Roman" w:cstheme="minorHAnsi"/>
                <w:iCs/>
                <w:color w:val="000000"/>
                <w:sz w:val="22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86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0103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C460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7553547D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2F57" w14:textId="33543DE4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25629C">
              <w:rPr>
                <w:rFonts w:eastAsia="Times New Roman" w:cstheme="minorHAnsi"/>
                <w:i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principals</w:t>
            </w:r>
            <w:r w:rsidRPr="0025629C">
              <w:rPr>
                <w:rFonts w:eastAsia="Times New Roman" w:cstheme="minorHAnsi"/>
                <w:iCs/>
                <w:color w:val="000000"/>
                <w:sz w:val="22"/>
              </w:rPr>
              <w:t xml:space="preserve"> who agree or strongly agree that they have access to quality professio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nal development (per climate survey</w:t>
            </w:r>
            <w:r w:rsidRPr="0025629C">
              <w:rPr>
                <w:rFonts w:eastAsia="Times New Roman" w:cstheme="minorHAnsi"/>
                <w:iCs/>
                <w:color w:val="000000"/>
                <w:sz w:val="22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03B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470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4225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2B27E7E0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8E9C" w14:textId="031DC00A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>% of teachers with a specific and measureable professional development plan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EB5" w14:textId="275CF163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6F26" w14:textId="33A52DD2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ACAB" w14:textId="62DBAD60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color w:val="000000"/>
                <w:sz w:val="22"/>
              </w:rPr>
              <w:t> </w:t>
            </w:r>
          </w:p>
        </w:tc>
      </w:tr>
      <w:tr w:rsidR="00D84C20" w:rsidRPr="003C2FF7" w14:paraId="5F2FB4B1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8FD1" w14:textId="20971EC8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 xml:space="preserve">% of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principals</w:t>
            </w:r>
            <w:r w:rsidRPr="00576D7D">
              <w:rPr>
                <w:rFonts w:eastAsia="Times New Roman" w:cstheme="minorHAnsi"/>
                <w:iCs/>
                <w:color w:val="000000"/>
                <w:sz w:val="22"/>
              </w:rPr>
              <w:t xml:space="preserve"> with a specific and measureable professional development plan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3625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EE86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76A7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09C982F2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CC05" w14:textId="6084AF81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5A07E8">
              <w:rPr>
                <w:rFonts w:eastAsia="Times New Roman" w:cstheme="minorHAnsi"/>
                <w:iCs/>
                <w:color w:val="000000"/>
                <w:sz w:val="22"/>
              </w:rPr>
              <w:t xml:space="preserve">% of teachers engaged in job-embedded professional development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(</w:t>
            </w:r>
            <w:r w:rsidRPr="005A07E8">
              <w:rPr>
                <w:rFonts w:eastAsia="Times New Roman" w:cstheme="minorHAnsi"/>
                <w:iCs/>
                <w:color w:val="000000"/>
                <w:sz w:val="22"/>
              </w:rPr>
              <w:t>such as working on team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s led by highly effective peers)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C2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6BA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92F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6EBB57E2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3E3" w14:textId="5D4DC154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>
              <w:rPr>
                <w:rFonts w:eastAsia="Times New Roman" w:cstheme="minorHAnsi"/>
                <w:iCs/>
                <w:color w:val="000000"/>
                <w:sz w:val="22"/>
              </w:rPr>
              <w:t>% of principals</w:t>
            </w:r>
            <w:r w:rsidRPr="005A07E8">
              <w:rPr>
                <w:rFonts w:eastAsia="Times New Roman" w:cstheme="minorHAnsi"/>
                <w:iCs/>
                <w:color w:val="000000"/>
                <w:sz w:val="22"/>
              </w:rPr>
              <w:t xml:space="preserve"> engaged in job-embedded professional development 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(</w:t>
            </w:r>
            <w:r w:rsidRPr="005A07E8">
              <w:rPr>
                <w:rFonts w:eastAsia="Times New Roman" w:cstheme="minorHAnsi"/>
                <w:iCs/>
                <w:color w:val="000000"/>
                <w:sz w:val="22"/>
              </w:rPr>
              <w:t>such as working on team</w:t>
            </w:r>
            <w:r>
              <w:rPr>
                <w:rFonts w:eastAsia="Times New Roman" w:cstheme="minorHAnsi"/>
                <w:iCs/>
                <w:color w:val="000000"/>
                <w:sz w:val="22"/>
              </w:rPr>
              <w:t>s led by highly effective peers)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B5D2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2AF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C19B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5F297E04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CEA6" w14:textId="55167527" w:rsidR="00D84C20" w:rsidRPr="000A6BC3" w:rsidRDefault="006F14B0" w:rsidP="001C7B7E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of </w:t>
            </w:r>
            <w:r w:rsidR="001C7B7E">
              <w:rPr>
                <w:rFonts w:eastAsia="Times New Roman" w:cstheme="minorHAnsi"/>
                <w:bCs/>
                <w:color w:val="000000"/>
                <w:sz w:val="22"/>
              </w:rPr>
              <w:t>students</w:t>
            </w:r>
            <w:r w:rsidR="001C7B7E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per</w:t>
            </w:r>
            <w:r w:rsidR="001C7B7E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>teachers in leadership positions (</w:t>
            </w:r>
            <w:r w:rsidR="00D84C20">
              <w:rPr>
                <w:rFonts w:eastAsia="Times New Roman" w:cstheme="minorHAnsi"/>
                <w:bCs/>
                <w:color w:val="000000"/>
                <w:sz w:val="22"/>
              </w:rPr>
              <w:t xml:space="preserve">e.g., 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>grade/content teams, school committees, school leadership team, school improvement team)</w:t>
            </w:r>
            <w:r w:rsidR="001C7B7E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7E7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7B58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8AF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18A9F1E8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2436" w14:textId="530042EB" w:rsidR="00D84C20" w:rsidRPr="000A6BC3" w:rsidRDefault="006F14B0" w:rsidP="001C7B7E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#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 w:rsidR="001C7B7E">
              <w:rPr>
                <w:rFonts w:eastAsia="Times New Roman" w:cstheme="minorHAnsi"/>
                <w:bCs/>
                <w:color w:val="000000"/>
                <w:sz w:val="22"/>
              </w:rPr>
              <w:t xml:space="preserve">of students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per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 xml:space="preserve"> teachers who lead professional development as experts </w:t>
            </w:r>
            <w:r w:rsidR="00D84C20">
              <w:rPr>
                <w:rFonts w:eastAsia="Times New Roman" w:cstheme="minorHAnsi"/>
                <w:bCs/>
                <w:color w:val="000000"/>
                <w:sz w:val="22"/>
              </w:rPr>
              <w:t xml:space="preserve">(e.g., </w:t>
            </w:r>
            <w:r w:rsidR="00D84C20" w:rsidRPr="003C2FF7">
              <w:rPr>
                <w:rFonts w:eastAsia="Times New Roman" w:cstheme="minorHAnsi"/>
                <w:bCs/>
                <w:color w:val="000000"/>
                <w:sz w:val="22"/>
              </w:rPr>
              <w:t>in content, assessment, classroom environment</w:t>
            </w:r>
            <w:r w:rsidR="00D84C20">
              <w:rPr>
                <w:rFonts w:eastAsia="Times New Roman" w:cstheme="minorHAnsi"/>
                <w:bCs/>
                <w:color w:val="000000"/>
                <w:sz w:val="22"/>
              </w:rPr>
              <w:t xml:space="preserve">)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543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6450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3D42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0167C6D8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A2CD" w14:textId="6289CB30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5A07E8">
              <w:rPr>
                <w:rFonts w:eastAsia="Times New Roman" w:cstheme="minorHAnsi"/>
                <w:bCs/>
                <w:color w:val="000000"/>
                <w:sz w:val="22"/>
              </w:rPr>
              <w:t>% of teachers who indicate they see professional growth potential within the profession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,</w:t>
            </w:r>
            <w:r w:rsidRPr="005A07E8">
              <w:rPr>
                <w:rFonts w:eastAsia="Times New Roman" w:cstheme="minorHAnsi"/>
                <w:bCs/>
                <w:color w:val="000000"/>
                <w:sz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without leaving their role in classroom instruction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753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97B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75B0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6139B69D" w14:textId="77777777" w:rsidTr="00591DE6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08F6" w14:textId="5FCD2699" w:rsidR="00D84C20" w:rsidRPr="000A6BC3" w:rsidRDefault="00D84C20" w:rsidP="00C637FC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</w:rPr>
              <w:t>Average total teacher salary (including starting salary, salary at 5</w:t>
            </w:r>
            <w:r w:rsidR="00C637FC">
              <w:rPr>
                <w:rFonts w:eastAsia="Times New Roman" w:cstheme="minorHAnsi"/>
                <w:bCs/>
                <w:color w:val="000000"/>
                <w:sz w:val="22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2"/>
              </w:rPr>
              <w:t>years, salary at 10 years, and earnings potential)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C785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006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178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002D3A41" w14:textId="77777777" w:rsidTr="008B0A1D">
        <w:trPr>
          <w:trHeight w:val="30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ED" w:themeFill="text2" w:themeFillTint="33"/>
            <w:noWrap/>
            <w:vAlign w:val="bottom"/>
          </w:tcPr>
          <w:p w14:paraId="07D77607" w14:textId="77777777" w:rsidR="00D84C20" w:rsidRPr="000A6BC3" w:rsidRDefault="00D84C20" w:rsidP="009A608F">
            <w:pPr>
              <w:spacing w:before="40" w:after="40"/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</w:pPr>
            <w:r w:rsidRPr="000A6BC3"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  <w:t xml:space="preserve">Please add any </w:t>
            </w:r>
            <w:r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  <w:t>additional</w:t>
            </w:r>
            <w:r w:rsidRPr="000A6BC3">
              <w:rPr>
                <w:rFonts w:eastAsia="Times New Roman" w:cstheme="minorHAnsi"/>
                <w:b/>
                <w:bCs/>
                <w:i/>
                <w:color w:val="000000"/>
                <w:sz w:val="22"/>
              </w:rPr>
              <w:t xml:space="preserve"> metrics here.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ED" w:themeFill="text2" w:themeFillTint="33"/>
            <w:vAlign w:val="center"/>
          </w:tcPr>
          <w:p w14:paraId="6FD79E51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ED" w:themeFill="text2" w:themeFillTint="33"/>
            <w:noWrap/>
            <w:vAlign w:val="center"/>
          </w:tcPr>
          <w:p w14:paraId="3DE176F9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ED" w:themeFill="text2" w:themeFillTint="33"/>
            <w:noWrap/>
            <w:vAlign w:val="center"/>
          </w:tcPr>
          <w:p w14:paraId="0D9DF78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4922E013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509" w14:textId="77777777" w:rsidR="00D84C20" w:rsidRPr="009A608F" w:rsidRDefault="00D84C20" w:rsidP="009A608F">
            <w:pPr>
              <w:spacing w:before="40" w:after="40"/>
              <w:rPr>
                <w:rFonts w:eastAsia="Times New Roman" w:cstheme="minorHAnsi"/>
                <w:bCs/>
                <w:i/>
                <w:color w:val="000000"/>
                <w:sz w:val="22"/>
              </w:rPr>
            </w:pPr>
            <w:r w:rsidRPr="009A608F">
              <w:rPr>
                <w:rFonts w:eastAsia="Times New Roman" w:cstheme="minorHAnsi"/>
                <w:bCs/>
                <w:i/>
                <w:color w:val="000000"/>
                <w:sz w:val="22"/>
              </w:rPr>
              <w:t xml:space="preserve">e.g. </w:t>
            </w:r>
            <w:r>
              <w:rPr>
                <w:rFonts w:eastAsia="Times New Roman" w:cstheme="minorHAnsi"/>
                <w:bCs/>
                <w:i/>
                <w:color w:val="000000"/>
                <w:sz w:val="22"/>
              </w:rPr>
              <w:t>,</w:t>
            </w:r>
            <w:r w:rsidRPr="009A608F">
              <w:rPr>
                <w:rFonts w:eastAsia="Times New Roman" w:cstheme="minorHAnsi"/>
                <w:bCs/>
                <w:i/>
                <w:color w:val="000000"/>
                <w:sz w:val="22"/>
              </w:rPr>
              <w:t>% of highly effective teachers who have extended their reach to additional students or teachers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97AB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447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CF7E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68257480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27CC" w14:textId="77777777" w:rsidR="00D84C20" w:rsidRPr="003C2FF7" w:rsidRDefault="00D84C20" w:rsidP="00AB3151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05C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C555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124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145190D3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479C" w14:textId="77777777" w:rsidR="00D84C20" w:rsidRPr="003C2FF7" w:rsidRDefault="00D84C20" w:rsidP="00AB3151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83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2888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DADA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24D1BA0E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A7E6" w14:textId="77777777" w:rsidR="00D84C20" w:rsidRPr="003C2FF7" w:rsidRDefault="00D84C20" w:rsidP="00AB3151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3B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F5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4DDC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46F19765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695B" w14:textId="77777777" w:rsidR="00D84C20" w:rsidRPr="003C2FF7" w:rsidRDefault="00D84C20" w:rsidP="00AB3151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95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AC31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B19C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  <w:tr w:rsidR="00D84C20" w:rsidRPr="003C2FF7" w14:paraId="3D340586" w14:textId="77777777" w:rsidTr="008B0A1D">
        <w:trPr>
          <w:trHeight w:val="7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E2D8" w14:textId="77777777" w:rsidR="00D84C20" w:rsidRPr="003C2FF7" w:rsidRDefault="00D84C20" w:rsidP="00AB3151">
            <w:pPr>
              <w:spacing w:before="40" w:after="40"/>
              <w:rPr>
                <w:rFonts w:eastAsia="Times New Roman" w:cstheme="minorHAnsi"/>
                <w:bCs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A8D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A424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FFE0" w14:textId="77777777" w:rsidR="00D84C20" w:rsidRPr="00576D7D" w:rsidRDefault="00D84C20" w:rsidP="00AB3151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</w:p>
        </w:tc>
      </w:tr>
    </w:tbl>
    <w:p w14:paraId="0FC4B4A8" w14:textId="77777777" w:rsidR="00233939" w:rsidRPr="00233939" w:rsidRDefault="001B2869" w:rsidP="00233939">
      <w:pPr>
        <w:pStyle w:val="BodyText"/>
      </w:pPr>
      <w:proofErr w:type="gramStart"/>
      <w:r w:rsidRPr="001B2869">
        <w:rPr>
          <w:vertAlign w:val="superscript"/>
        </w:rPr>
        <w:t>a</w:t>
      </w:r>
      <w:proofErr w:type="gramEnd"/>
      <w:r>
        <w:t xml:space="preserve"> </w:t>
      </w:r>
      <w:r w:rsidR="009D0C0F" w:rsidRPr="00AD329B">
        <w:rPr>
          <w:sz w:val="20"/>
          <w:szCs w:val="20"/>
        </w:rPr>
        <w:t>FRPL</w:t>
      </w:r>
      <w:r w:rsidR="00AB3151">
        <w:rPr>
          <w:sz w:val="20"/>
          <w:szCs w:val="20"/>
        </w:rPr>
        <w:t xml:space="preserve"> </w:t>
      </w:r>
      <w:r w:rsidR="009D0C0F" w:rsidRPr="00AD329B">
        <w:rPr>
          <w:sz w:val="20"/>
          <w:szCs w:val="20"/>
        </w:rPr>
        <w:t xml:space="preserve">= Students </w:t>
      </w:r>
      <w:r w:rsidR="004326CE" w:rsidRPr="00AD329B">
        <w:rPr>
          <w:sz w:val="20"/>
          <w:szCs w:val="20"/>
        </w:rPr>
        <w:t>eligible for free or reduced-price lunch</w:t>
      </w:r>
      <w:r w:rsidR="009D0C0F">
        <w:t xml:space="preserve"> </w:t>
      </w:r>
    </w:p>
    <w:sectPr w:rsidR="00233939" w:rsidRPr="00233939" w:rsidSect="00576D7D"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D2328" w15:done="0"/>
  <w15:commentEx w15:paraId="0B0DC94E" w15:done="0"/>
  <w15:commentEx w15:paraId="2C266A2D" w15:done="0"/>
  <w15:commentEx w15:paraId="38E4101F" w15:done="0"/>
  <w15:commentEx w15:paraId="64940472" w15:done="0"/>
  <w15:commentEx w15:paraId="52938010" w15:done="0"/>
  <w15:commentEx w15:paraId="140E683D" w15:done="0"/>
  <w15:commentEx w15:paraId="0B9119B6" w15:done="0"/>
  <w15:commentEx w15:paraId="7476A098" w15:done="0"/>
  <w15:commentEx w15:paraId="31C22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6CFB" w14:textId="77777777" w:rsidR="009A5A9E" w:rsidRDefault="009A5A9E" w:rsidP="009813D0">
      <w:r>
        <w:separator/>
      </w:r>
    </w:p>
  </w:endnote>
  <w:endnote w:type="continuationSeparator" w:id="0">
    <w:p w14:paraId="03E3B284" w14:textId="77777777" w:rsidR="009A5A9E" w:rsidRDefault="009A5A9E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19A0" w14:textId="77777777" w:rsidR="009813D0" w:rsidRPr="00C62189" w:rsidRDefault="007D09C1" w:rsidP="00B26677">
    <w:pPr>
      <w:pStyle w:val="Footer"/>
    </w:pPr>
    <w:r>
      <w:t>Center on Great Teachers and Leaders</w:t>
    </w:r>
    <w:r w:rsidR="00C62189">
      <w:ptab w:relativeTo="margin" w:alignment="right" w:leader="none"/>
    </w:r>
    <w:r w:rsidR="004326CE" w:rsidRPr="004326CE">
      <w:t xml:space="preserve"> </w:t>
    </w:r>
    <w:r w:rsidR="004326CE">
      <w:t>Equitable Access</w:t>
    </w:r>
    <w:r w:rsidR="00DE6EDE">
      <w:t>:</w:t>
    </w:r>
    <w:r w:rsidR="004326CE">
      <w:t xml:space="preserve"> Example</w:t>
    </w:r>
    <w:r w:rsidR="00406554">
      <w:t xml:space="preserve"> </w:t>
    </w:r>
    <w:r w:rsidR="004326CE">
      <w:t>Metrics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3E77DC">
      <w:rPr>
        <w:noProof/>
      </w:rPr>
      <w:t>4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826B" w14:textId="77777777" w:rsidR="00D745CF" w:rsidRPr="009A2F1E" w:rsidRDefault="00CE2FA1" w:rsidP="009A2F1E">
    <w:pPr>
      <w:pStyle w:val="Footer"/>
      <w:tabs>
        <w:tab w:val="clear" w:pos="4680"/>
        <w:tab w:val="clear" w:pos="9360"/>
      </w:tabs>
    </w:pPr>
    <w:r>
      <w:t>Center on Great Teachers and Leaders</w:t>
    </w:r>
    <w:r>
      <w:ptab w:relativeTo="margin" w:alignment="center" w:leader="none"/>
    </w:r>
    <w:r>
      <w:ptab w:relativeTo="margin" w:alignment="right" w:leader="none"/>
    </w:r>
    <w:r w:rsidRPr="00CE2FA1">
      <w:t xml:space="preserve"> </w:t>
    </w:r>
    <w:r>
      <w:t>Equitable Access: Example Metrics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132B25">
      <w:rPr>
        <w:noProof/>
      </w:rPr>
      <w:t>1</w:t>
    </w:r>
    <w:r w:rsidR="00D745CF" w:rsidRPr="009A2F1E">
      <w:fldChar w:fldCharType="end"/>
    </w:r>
  </w:p>
  <w:p w14:paraId="2A7B0748" w14:textId="75DC5B5D" w:rsidR="009A2F1E" w:rsidRPr="009A2F1E" w:rsidRDefault="006C5AB4" w:rsidP="00A04610">
    <w:pPr>
      <w:pStyle w:val="CoverPubID"/>
      <w:jc w:val="left"/>
    </w:pPr>
    <w:r w:rsidRPr="006C5AB4">
      <w:rPr>
        <w:sz w:val="20"/>
      </w:rPr>
      <w:t>Copyright © 201</w:t>
    </w:r>
    <w:r w:rsidR="00DE7DBB">
      <w:rPr>
        <w:sz w:val="20"/>
      </w:rPr>
      <w:t>5</w:t>
    </w:r>
    <w:r w:rsidRPr="006C5AB4">
      <w:rPr>
        <w:sz w:val="20"/>
      </w:rPr>
      <w:t xml:space="preserve"> American Institutes for Research. </w:t>
    </w:r>
    <w:r w:rsidRPr="006C5AB4">
      <w:rPr>
        <w:rStyle w:val="FooterChar"/>
      </w:rPr>
      <w:t>All rights reserved.</w:t>
    </w:r>
    <w:r w:rsidR="00A04610">
      <w:ptab w:relativeTo="margin" w:alignment="right" w:leader="none"/>
    </w:r>
    <w:r w:rsidR="009D5B75">
      <w:t>3220</w:t>
    </w:r>
    <w:r w:rsidR="009A2F1E" w:rsidRPr="00190DF8">
      <w:t>_</w:t>
    </w:r>
    <w:r w:rsidR="00B6105A">
      <w:t>01</w:t>
    </w:r>
    <w:r w:rsidR="009A2F1E" w:rsidRPr="00190DF8">
      <w:t>/</w:t>
    </w:r>
    <w:r w:rsidR="00953226">
      <w:t>1</w:t>
    </w:r>
    <w:r w:rsidR="00B6105A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E5D7" w14:textId="77777777" w:rsidR="009A5A9E" w:rsidRDefault="009A5A9E" w:rsidP="009813D0">
      <w:r>
        <w:separator/>
      </w:r>
    </w:p>
  </w:footnote>
  <w:footnote w:type="continuationSeparator" w:id="0">
    <w:p w14:paraId="62C183B0" w14:textId="77777777" w:rsidR="009A5A9E" w:rsidRDefault="009A5A9E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41BB" w14:textId="77777777"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BC3612A" wp14:editId="71735DC0">
          <wp:simplePos x="0" y="0"/>
          <wp:positionH relativeFrom="page">
            <wp:posOffset>1271</wp:posOffset>
          </wp:positionH>
          <wp:positionV relativeFrom="page">
            <wp:posOffset>0</wp:posOffset>
          </wp:positionV>
          <wp:extent cx="10055858" cy="114236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5858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F1BAE"/>
    <w:multiLevelType w:val="hybridMultilevel"/>
    <w:tmpl w:val="D0A251B0"/>
    <w:lvl w:ilvl="0" w:tplc="7EF03E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82267"/>
    <w:multiLevelType w:val="hybridMultilevel"/>
    <w:tmpl w:val="EEB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91E60"/>
    <w:multiLevelType w:val="hybridMultilevel"/>
    <w:tmpl w:val="0F50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3"/>
  </w:num>
  <w:num w:numId="15">
    <w:abstractNumId w:val="22"/>
  </w:num>
  <w:num w:numId="16">
    <w:abstractNumId w:val="16"/>
  </w:num>
  <w:num w:numId="17">
    <w:abstractNumId w:val="17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8"/>
  </w:num>
  <w:num w:numId="24">
    <w:abstractNumId w:val="19"/>
  </w:num>
  <w:num w:numId="25">
    <w:abstractNumId w:val="21"/>
  </w:num>
  <w:num w:numId="26">
    <w:abstractNumId w:val="15"/>
  </w:num>
  <w:num w:numId="27">
    <w:abstractNumId w:val="28"/>
  </w:num>
  <w:num w:numId="28">
    <w:abstractNumId w:val="23"/>
  </w:num>
  <w:num w:numId="29">
    <w:abstractNumId w:val="27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uce, Cheryl">
    <w15:presenceInfo w15:providerId="AD" w15:userId="S-1-5-21-1472932569-214068005-926709054-4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D"/>
    <w:rsid w:val="00003441"/>
    <w:rsid w:val="000155EB"/>
    <w:rsid w:val="00016309"/>
    <w:rsid w:val="00020518"/>
    <w:rsid w:val="00032660"/>
    <w:rsid w:val="00043156"/>
    <w:rsid w:val="000832BE"/>
    <w:rsid w:val="00084DD8"/>
    <w:rsid w:val="000A6BC3"/>
    <w:rsid w:val="000A7C79"/>
    <w:rsid w:val="000B2636"/>
    <w:rsid w:val="000C25F6"/>
    <w:rsid w:val="000D3209"/>
    <w:rsid w:val="000D600E"/>
    <w:rsid w:val="001059B0"/>
    <w:rsid w:val="00107B3A"/>
    <w:rsid w:val="00111F95"/>
    <w:rsid w:val="00132B25"/>
    <w:rsid w:val="00135652"/>
    <w:rsid w:val="00157BF9"/>
    <w:rsid w:val="001758FA"/>
    <w:rsid w:val="0018296E"/>
    <w:rsid w:val="001A2F36"/>
    <w:rsid w:val="001A5EDC"/>
    <w:rsid w:val="001A70A4"/>
    <w:rsid w:val="001B2869"/>
    <w:rsid w:val="001C7425"/>
    <w:rsid w:val="001C7B7E"/>
    <w:rsid w:val="001C7BF7"/>
    <w:rsid w:val="001D51AD"/>
    <w:rsid w:val="001F6FCC"/>
    <w:rsid w:val="002127F9"/>
    <w:rsid w:val="002150F6"/>
    <w:rsid w:val="002170D4"/>
    <w:rsid w:val="00221DE6"/>
    <w:rsid w:val="002222CC"/>
    <w:rsid w:val="00233939"/>
    <w:rsid w:val="0025629C"/>
    <w:rsid w:val="00276B89"/>
    <w:rsid w:val="0029047C"/>
    <w:rsid w:val="002917D4"/>
    <w:rsid w:val="002D1D8A"/>
    <w:rsid w:val="00312AB0"/>
    <w:rsid w:val="00365207"/>
    <w:rsid w:val="003B4AEB"/>
    <w:rsid w:val="003C2896"/>
    <w:rsid w:val="003C2FF7"/>
    <w:rsid w:val="003D4DBE"/>
    <w:rsid w:val="003E77DC"/>
    <w:rsid w:val="00406554"/>
    <w:rsid w:val="004326CE"/>
    <w:rsid w:val="0044482E"/>
    <w:rsid w:val="00446DAF"/>
    <w:rsid w:val="0049023B"/>
    <w:rsid w:val="004A3F5F"/>
    <w:rsid w:val="004C3B40"/>
    <w:rsid w:val="004C531A"/>
    <w:rsid w:val="004C5E53"/>
    <w:rsid w:val="005037C3"/>
    <w:rsid w:val="00505752"/>
    <w:rsid w:val="00551547"/>
    <w:rsid w:val="0055174A"/>
    <w:rsid w:val="00552441"/>
    <w:rsid w:val="00574F16"/>
    <w:rsid w:val="00576D7D"/>
    <w:rsid w:val="005803CA"/>
    <w:rsid w:val="00585227"/>
    <w:rsid w:val="005863A7"/>
    <w:rsid w:val="00591DE6"/>
    <w:rsid w:val="00594A0C"/>
    <w:rsid w:val="005A07E8"/>
    <w:rsid w:val="005A5FE7"/>
    <w:rsid w:val="005A696D"/>
    <w:rsid w:val="005F70CC"/>
    <w:rsid w:val="006062F4"/>
    <w:rsid w:val="00613F4A"/>
    <w:rsid w:val="00647815"/>
    <w:rsid w:val="00656BB4"/>
    <w:rsid w:val="0067689C"/>
    <w:rsid w:val="00683D49"/>
    <w:rsid w:val="006A1ABD"/>
    <w:rsid w:val="006A467F"/>
    <w:rsid w:val="006C5AB4"/>
    <w:rsid w:val="006C6AD3"/>
    <w:rsid w:val="006D742E"/>
    <w:rsid w:val="006F14B0"/>
    <w:rsid w:val="007025B6"/>
    <w:rsid w:val="00711005"/>
    <w:rsid w:val="007145DB"/>
    <w:rsid w:val="00733170"/>
    <w:rsid w:val="00755A6B"/>
    <w:rsid w:val="00757407"/>
    <w:rsid w:val="00766A4B"/>
    <w:rsid w:val="007B06CB"/>
    <w:rsid w:val="007B4A59"/>
    <w:rsid w:val="007C6E39"/>
    <w:rsid w:val="007D09C1"/>
    <w:rsid w:val="007E522D"/>
    <w:rsid w:val="007F4AE3"/>
    <w:rsid w:val="00807525"/>
    <w:rsid w:val="00811DC8"/>
    <w:rsid w:val="008145BD"/>
    <w:rsid w:val="0081506C"/>
    <w:rsid w:val="00825025"/>
    <w:rsid w:val="00845EE4"/>
    <w:rsid w:val="008621A9"/>
    <w:rsid w:val="00864067"/>
    <w:rsid w:val="00866ED9"/>
    <w:rsid w:val="0086770A"/>
    <w:rsid w:val="00880E05"/>
    <w:rsid w:val="008910CE"/>
    <w:rsid w:val="00891A35"/>
    <w:rsid w:val="008974D4"/>
    <w:rsid w:val="008B0A1D"/>
    <w:rsid w:val="008C4B84"/>
    <w:rsid w:val="008C758F"/>
    <w:rsid w:val="008D5038"/>
    <w:rsid w:val="008D5EA7"/>
    <w:rsid w:val="008F0AD8"/>
    <w:rsid w:val="008F74A0"/>
    <w:rsid w:val="00923F13"/>
    <w:rsid w:val="00941F1E"/>
    <w:rsid w:val="00944417"/>
    <w:rsid w:val="00953226"/>
    <w:rsid w:val="00954F32"/>
    <w:rsid w:val="00975F36"/>
    <w:rsid w:val="00977BE0"/>
    <w:rsid w:val="009813D0"/>
    <w:rsid w:val="00983DA6"/>
    <w:rsid w:val="009A1B72"/>
    <w:rsid w:val="009A2F1E"/>
    <w:rsid w:val="009A3982"/>
    <w:rsid w:val="009A5A9E"/>
    <w:rsid w:val="009A608F"/>
    <w:rsid w:val="009A6A6B"/>
    <w:rsid w:val="009B3DFD"/>
    <w:rsid w:val="009D0C0F"/>
    <w:rsid w:val="009D5B75"/>
    <w:rsid w:val="009E22C7"/>
    <w:rsid w:val="00A04610"/>
    <w:rsid w:val="00A04BB6"/>
    <w:rsid w:val="00A15521"/>
    <w:rsid w:val="00A35FF5"/>
    <w:rsid w:val="00A560BA"/>
    <w:rsid w:val="00A60BB1"/>
    <w:rsid w:val="00A864A2"/>
    <w:rsid w:val="00AA0964"/>
    <w:rsid w:val="00AA2C2D"/>
    <w:rsid w:val="00AB3151"/>
    <w:rsid w:val="00AC5C80"/>
    <w:rsid w:val="00AD329B"/>
    <w:rsid w:val="00AE2FDC"/>
    <w:rsid w:val="00B10D6D"/>
    <w:rsid w:val="00B128A5"/>
    <w:rsid w:val="00B1446B"/>
    <w:rsid w:val="00B26677"/>
    <w:rsid w:val="00B305A2"/>
    <w:rsid w:val="00B6105A"/>
    <w:rsid w:val="00B71CF0"/>
    <w:rsid w:val="00B7620A"/>
    <w:rsid w:val="00BE0FA9"/>
    <w:rsid w:val="00C20C5E"/>
    <w:rsid w:val="00C26E33"/>
    <w:rsid w:val="00C47D4D"/>
    <w:rsid w:val="00C62189"/>
    <w:rsid w:val="00C637FC"/>
    <w:rsid w:val="00C76AB3"/>
    <w:rsid w:val="00C87513"/>
    <w:rsid w:val="00CD2118"/>
    <w:rsid w:val="00CD384C"/>
    <w:rsid w:val="00CE2FA1"/>
    <w:rsid w:val="00CF09CD"/>
    <w:rsid w:val="00D035F8"/>
    <w:rsid w:val="00D26E4F"/>
    <w:rsid w:val="00D31F1A"/>
    <w:rsid w:val="00D46DA2"/>
    <w:rsid w:val="00D745CF"/>
    <w:rsid w:val="00D82577"/>
    <w:rsid w:val="00D84C20"/>
    <w:rsid w:val="00DD5E90"/>
    <w:rsid w:val="00DD7770"/>
    <w:rsid w:val="00DE00BB"/>
    <w:rsid w:val="00DE16C2"/>
    <w:rsid w:val="00DE6EDE"/>
    <w:rsid w:val="00DE7DBB"/>
    <w:rsid w:val="00DF7950"/>
    <w:rsid w:val="00E039F4"/>
    <w:rsid w:val="00E14161"/>
    <w:rsid w:val="00E153D6"/>
    <w:rsid w:val="00E20FF2"/>
    <w:rsid w:val="00E3348C"/>
    <w:rsid w:val="00E61D58"/>
    <w:rsid w:val="00E75260"/>
    <w:rsid w:val="00E86B02"/>
    <w:rsid w:val="00E964BA"/>
    <w:rsid w:val="00EA63D3"/>
    <w:rsid w:val="00EC42A1"/>
    <w:rsid w:val="00EE4B39"/>
    <w:rsid w:val="00F2023C"/>
    <w:rsid w:val="00F32C67"/>
    <w:rsid w:val="00F417FE"/>
    <w:rsid w:val="00F42CDA"/>
    <w:rsid w:val="00F4338D"/>
    <w:rsid w:val="00F844B8"/>
    <w:rsid w:val="00F90C08"/>
    <w:rsid w:val="00FA5690"/>
    <w:rsid w:val="00FE533A"/>
    <w:rsid w:val="00FF00ED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8C0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2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1ABD"/>
    <w:pPr>
      <w:ind w:left="720"/>
      <w:contextualSpacing/>
    </w:pPr>
    <w:rPr>
      <w:rFonts w:eastAsia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2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1ABD"/>
    <w:pPr>
      <w:ind w:left="720"/>
      <w:contextualSpacing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49976FE-A586-47A0-91A6-66299E3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gahala</dc:creator>
  <cp:lastModifiedBy>Berg-Jacobson, Alexander</cp:lastModifiedBy>
  <cp:revision>3</cp:revision>
  <cp:lastPrinted>2015-01-06T15:59:00Z</cp:lastPrinted>
  <dcterms:created xsi:type="dcterms:W3CDTF">2015-01-16T18:55:00Z</dcterms:created>
  <dcterms:modified xsi:type="dcterms:W3CDTF">2015-01-16T18:56:00Z</dcterms:modified>
</cp:coreProperties>
</file>