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6BAA" w14:textId="77777777" w:rsidR="009143AD" w:rsidRDefault="009143AD" w:rsidP="003E1EDF">
      <w:pPr>
        <w:spacing w:after="300" w:line="240" w:lineRule="auto"/>
        <w:ind w:right="720"/>
        <w:contextualSpacing/>
        <w:outlineLvl w:val="0"/>
        <w:rPr>
          <w:rFonts w:ascii="Arial" w:eastAsia="Times New Roman" w:hAnsi="Arial" w:cs="Times New Roman"/>
          <w:b/>
          <w:color w:val="103C9C"/>
          <w:kern w:val="28"/>
          <w:sz w:val="52"/>
          <w:szCs w:val="52"/>
        </w:rPr>
      </w:pPr>
    </w:p>
    <w:p w14:paraId="42DBDEE4" w14:textId="7D166156" w:rsidR="003E1EDF" w:rsidRPr="003E1EDF" w:rsidRDefault="003E1EDF" w:rsidP="003E1EDF">
      <w:pPr>
        <w:spacing w:after="300" w:line="240" w:lineRule="auto"/>
        <w:ind w:right="720"/>
        <w:contextualSpacing/>
        <w:outlineLvl w:val="0"/>
        <w:rPr>
          <w:rFonts w:ascii="Arial" w:eastAsia="Times New Roman" w:hAnsi="Arial" w:cs="Times New Roman"/>
          <w:b/>
          <w:color w:val="103C9C"/>
          <w:kern w:val="28"/>
          <w:sz w:val="52"/>
          <w:szCs w:val="52"/>
        </w:rPr>
      </w:pPr>
      <w:r w:rsidRPr="003E1EDF">
        <w:rPr>
          <w:rFonts w:ascii="Arial" w:eastAsia="Times New Roman" w:hAnsi="Arial" w:cs="Times New Roman"/>
          <w:b/>
          <w:color w:val="103C9C"/>
          <w:kern w:val="28"/>
          <w:sz w:val="52"/>
          <w:szCs w:val="52"/>
        </w:rPr>
        <w:t xml:space="preserve">Mentoring and Induction in Turnaround Schools </w:t>
      </w:r>
      <w:r>
        <w:rPr>
          <w:rFonts w:ascii="Arial" w:eastAsia="Times New Roman" w:hAnsi="Arial" w:cs="Times New Roman"/>
          <w:b/>
          <w:color w:val="103C9C"/>
          <w:kern w:val="28"/>
          <w:sz w:val="52"/>
          <w:szCs w:val="52"/>
        </w:rPr>
        <w:t xml:space="preserve">    </w:t>
      </w:r>
      <w:r w:rsidR="00D14055">
        <w:rPr>
          <w:rFonts w:ascii="Arial" w:eastAsia="Times New Roman" w:hAnsi="Arial" w:cs="Times New Roman"/>
          <w:b/>
          <w:color w:val="103C9C"/>
          <w:kern w:val="28"/>
          <w:sz w:val="52"/>
          <w:szCs w:val="52"/>
        </w:rPr>
        <w:t>Crosswalk and Reflection</w:t>
      </w:r>
    </w:p>
    <w:p w14:paraId="5BF7E0DD" w14:textId="77777777" w:rsidR="008B7BAE" w:rsidRDefault="008B7BAE" w:rsidP="008B7BAE">
      <w:pPr>
        <w:keepNext/>
        <w:keepLines/>
        <w:spacing w:before="240" w:after="120" w:line="240" w:lineRule="auto"/>
        <w:ind w:right="720"/>
        <w:outlineLvl w:val="1"/>
        <w:rPr>
          <w:rFonts w:ascii="Arial" w:eastAsia="Times New Roman" w:hAnsi="Arial" w:cs="Times New Roman"/>
          <w:b/>
          <w:bCs/>
          <w:color w:val="103C9C"/>
          <w:sz w:val="36"/>
          <w:szCs w:val="36"/>
        </w:rPr>
      </w:pPr>
    </w:p>
    <w:p w14:paraId="3410E0C4" w14:textId="77777777" w:rsidR="008B7BAE" w:rsidRPr="008B7BAE" w:rsidRDefault="008B7BAE" w:rsidP="008B7BAE">
      <w:pPr>
        <w:keepNext/>
        <w:keepLines/>
        <w:spacing w:before="240" w:after="120" w:line="240" w:lineRule="auto"/>
        <w:ind w:right="720"/>
        <w:outlineLvl w:val="1"/>
        <w:rPr>
          <w:rFonts w:ascii="Arial" w:eastAsia="Times New Roman" w:hAnsi="Arial" w:cs="Times New Roman"/>
          <w:b/>
          <w:bCs/>
          <w:color w:val="103C9C"/>
          <w:sz w:val="36"/>
          <w:szCs w:val="36"/>
        </w:rPr>
      </w:pPr>
      <w:r w:rsidRPr="008B7BAE">
        <w:rPr>
          <w:rFonts w:ascii="Arial" w:eastAsia="Times New Roman" w:hAnsi="Arial" w:cs="Times New Roman"/>
          <w:b/>
          <w:bCs/>
          <w:color w:val="103C9C"/>
          <w:sz w:val="36"/>
          <w:szCs w:val="36"/>
        </w:rPr>
        <w:t>Talent for Turnaround Integrated Model</w:t>
      </w:r>
    </w:p>
    <w:p w14:paraId="068B9394" w14:textId="0BF25841" w:rsidR="008B7BAE" w:rsidRPr="008B7BAE" w:rsidRDefault="008B7BAE" w:rsidP="008B7BAE">
      <w:pPr>
        <w:spacing w:before="240" w:after="12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8B7BAE">
        <w:rPr>
          <w:rFonts w:ascii="Times New Roman" w:eastAsia="Times New Roman" w:hAnsi="Times New Roman" w:cs="Times New Roman"/>
          <w:b/>
          <w:sz w:val="24"/>
          <w:szCs w:val="24"/>
        </w:rPr>
        <w:t>Purpose:</w:t>
      </w:r>
      <w:r w:rsidRPr="008B7BAE">
        <w:rPr>
          <w:rFonts w:ascii="Times New Roman" w:eastAsia="Times New Roman" w:hAnsi="Times New Roman" w:cs="Times New Roman"/>
          <w:sz w:val="24"/>
          <w:szCs w:val="24"/>
        </w:rPr>
        <w:t xml:space="preserve"> This tool was codeveloped by </w:t>
      </w:r>
      <w:hyperlink r:id="rId8" w:history="1">
        <w:r w:rsidRPr="008B7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Center on School Turnaround</w:t>
        </w:r>
      </w:hyperlink>
      <w:r w:rsidRPr="008B7BAE">
        <w:rPr>
          <w:rFonts w:ascii="Times New Roman" w:eastAsia="Times New Roman" w:hAnsi="Times New Roman" w:cs="Times New Roman"/>
          <w:sz w:val="24"/>
          <w:szCs w:val="24"/>
        </w:rPr>
        <w:t xml:space="preserve"> (CST) and the </w:t>
      </w:r>
      <w:hyperlink r:id="rId9" w:history="1">
        <w:r w:rsidRPr="008B7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Center on Great Teachers and Leaders</w:t>
        </w:r>
      </w:hyperlink>
      <w:r w:rsidRPr="008B7BAE">
        <w:rPr>
          <w:rFonts w:ascii="Times New Roman" w:eastAsia="Times New Roman" w:hAnsi="Times New Roman" w:cs="Times New Roman"/>
          <w:sz w:val="24"/>
          <w:szCs w:val="24"/>
        </w:rPr>
        <w:t xml:space="preserve"> as partners in the Talent for Turnaround Leadership Academy (T4TLA). This tool is part of the </w:t>
      </w:r>
      <w:r w:rsidRPr="008B7BAE">
        <w:rPr>
          <w:rFonts w:ascii="Times New Roman" w:eastAsia="Times New Roman" w:hAnsi="Times New Roman" w:cs="Times New Roman"/>
          <w:i/>
          <w:sz w:val="24"/>
          <w:szCs w:val="24"/>
        </w:rPr>
        <w:t>Mentoring and Induction Toolkit</w:t>
      </w:r>
      <w:r w:rsidRPr="008B7BAE">
        <w:rPr>
          <w:rFonts w:ascii="Times New Roman" w:eastAsia="Times New Roman" w:hAnsi="Times New Roman" w:cs="Times New Roman"/>
          <w:sz w:val="24"/>
          <w:szCs w:val="24"/>
        </w:rPr>
        <w:t xml:space="preserve"> designed to help leaders and staff members from regional comprehensive centers and state education agencies facilitate conversations at the school and district levels about the design and implementation of ment</w:t>
      </w:r>
      <w:r w:rsidR="00477A0C">
        <w:rPr>
          <w:rFonts w:ascii="Times New Roman" w:eastAsia="Times New Roman" w:hAnsi="Times New Roman" w:cs="Times New Roman"/>
          <w:sz w:val="24"/>
          <w:szCs w:val="24"/>
        </w:rPr>
        <w:t xml:space="preserve">oring and induction (M&amp;I) </w:t>
      </w:r>
      <w:r w:rsidRPr="008B7BAE">
        <w:rPr>
          <w:rFonts w:ascii="Times New Roman" w:eastAsia="Times New Roman" w:hAnsi="Times New Roman" w:cs="Times New Roman"/>
          <w:sz w:val="24"/>
          <w:szCs w:val="24"/>
        </w:rPr>
        <w:t xml:space="preserve">programs. </w:t>
      </w:r>
    </w:p>
    <w:p w14:paraId="33A9361C" w14:textId="10B3EAB7" w:rsidR="008B7BAE" w:rsidRPr="008B7BAE" w:rsidRDefault="008B7BAE" w:rsidP="008B7BAE">
      <w:pPr>
        <w:spacing w:before="240" w:after="12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8B7BAE">
        <w:rPr>
          <w:rFonts w:ascii="Times New Roman" w:eastAsia="Times New Roman" w:hAnsi="Times New Roman" w:cs="Times New Roman"/>
          <w:sz w:val="24"/>
          <w:szCs w:val="24"/>
        </w:rPr>
        <w:t>The purpose of this tool is to describe T4TLA’s integrated mod</w:t>
      </w:r>
      <w:r w:rsidR="00477A0C">
        <w:rPr>
          <w:rFonts w:ascii="Times New Roman" w:eastAsia="Times New Roman" w:hAnsi="Times New Roman" w:cs="Times New Roman"/>
          <w:sz w:val="24"/>
          <w:szCs w:val="24"/>
        </w:rPr>
        <w:t xml:space="preserve">el for M&amp;I </w:t>
      </w:r>
      <w:r w:rsidRPr="008B7BAE">
        <w:rPr>
          <w:rFonts w:ascii="Times New Roman" w:eastAsia="Times New Roman" w:hAnsi="Times New Roman" w:cs="Times New Roman"/>
          <w:sz w:val="24"/>
          <w:szCs w:val="24"/>
        </w:rPr>
        <w:t xml:space="preserve">of new teachers working in school turnaround settings. This model integrates the </w:t>
      </w:r>
      <w:hyperlink r:id="rId10" w:history="1">
        <w:r w:rsidRPr="008B7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 Quality Mentoring &amp; Induction Practices</w:t>
        </w:r>
      </w:hyperlink>
      <w:r w:rsidRPr="008B7BAE">
        <w:rPr>
          <w:rFonts w:ascii="Times New Roman" w:eastAsia="Times New Roman" w:hAnsi="Times New Roman" w:cs="Times New Roman"/>
          <w:sz w:val="24"/>
          <w:szCs w:val="24"/>
        </w:rPr>
        <w:t xml:space="preserve"> from the </w:t>
      </w:r>
      <w:hyperlink r:id="rId11" w:history="1">
        <w:r w:rsidRPr="008B7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Teacher Center</w:t>
        </w:r>
      </w:hyperlink>
      <w:r w:rsidRPr="008B7BAE">
        <w:rPr>
          <w:rFonts w:ascii="Times New Roman" w:eastAsia="Times New Roman" w:hAnsi="Times New Roman" w:cs="Times New Roman"/>
          <w:sz w:val="24"/>
          <w:szCs w:val="24"/>
        </w:rPr>
        <w:t xml:space="preserve"> within the </w:t>
      </w:r>
      <w:hyperlink r:id="rId12" w:history="1">
        <w:r w:rsidRPr="008B7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Four Domains of Rapid School Improvement Systems Framework</w:t>
        </w:r>
      </w:hyperlink>
      <w:r w:rsidRPr="008B7BAE">
        <w:rPr>
          <w:rFonts w:ascii="Times New Roman" w:eastAsia="Times New Roman" w:hAnsi="Times New Roman" w:cs="Times New Roman"/>
          <w:sz w:val="24"/>
          <w:szCs w:val="24"/>
        </w:rPr>
        <w:t xml:space="preserve"> from CST to present a framework for supporting new teachers in turnaround schools. The first two columns of the chart show the crosswalk between CST’s Four Domains of Rapid School Improvement and the High-Quality M&amp;I Practices. This crosswalk focuses on nine of the 12 school turnaround practices within the framework that are most applicable to M&amp;I. The crosswalk also provides a short description of what the school turnaround practice looks like. The last three columns of the chart contain reflection questions for state, district, and school-level teams about the integration of M&amp;I within turnaround efforts.</w:t>
      </w:r>
    </w:p>
    <w:p w14:paraId="7D8DA37D" w14:textId="77777777" w:rsidR="008B7BAE" w:rsidRPr="008B7BAE" w:rsidRDefault="008B7BAE" w:rsidP="008B7BAE">
      <w:pPr>
        <w:spacing w:before="240" w:after="12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8B7BAE">
        <w:rPr>
          <w:rFonts w:ascii="Times New Roman" w:eastAsia="Times New Roman" w:hAnsi="Times New Roman" w:cs="Times New Roman"/>
          <w:sz w:val="24"/>
          <w:szCs w:val="24"/>
        </w:rPr>
        <w:t xml:space="preserve">Adapted from The Center on School Turnaround. (2018). </w:t>
      </w:r>
      <w:r w:rsidRPr="008B7BAE">
        <w:rPr>
          <w:rFonts w:ascii="Times New Roman" w:eastAsia="Times New Roman" w:hAnsi="Times New Roman" w:cs="Times New Roman"/>
          <w:i/>
          <w:sz w:val="24"/>
          <w:szCs w:val="24"/>
        </w:rPr>
        <w:t xml:space="preserve">Four domains for rapid school improvement: Indicators of effective practice. </w:t>
      </w:r>
      <w:r w:rsidRPr="008B7BAE">
        <w:rPr>
          <w:rFonts w:ascii="Times New Roman" w:eastAsia="Times New Roman" w:hAnsi="Times New Roman" w:cs="Times New Roman"/>
          <w:sz w:val="24"/>
          <w:szCs w:val="24"/>
        </w:rPr>
        <w:t xml:space="preserve">San Francisco, CA: WestEd. </w:t>
      </w:r>
    </w:p>
    <w:p w14:paraId="6BEEEBA5" w14:textId="05FB4CEE" w:rsidR="00C674D9" w:rsidRDefault="00C674D9"/>
    <w:p w14:paraId="45905B9E" w14:textId="77777777" w:rsidR="008B7BAE" w:rsidRDefault="00C674D9" w:rsidP="008B7BAE">
      <w:r>
        <w:br w:type="page"/>
      </w:r>
    </w:p>
    <w:tbl>
      <w:tblPr>
        <w:tblStyle w:val="TableGrid1"/>
        <w:tblW w:w="5000" w:type="pct"/>
        <w:tblLook w:val="0620" w:firstRow="1" w:lastRow="0" w:firstColumn="0" w:lastColumn="0" w:noHBand="1" w:noVBand="1"/>
      </w:tblPr>
      <w:tblGrid>
        <w:gridCol w:w="1499"/>
        <w:gridCol w:w="2624"/>
        <w:gridCol w:w="2623"/>
        <w:gridCol w:w="2623"/>
        <w:gridCol w:w="2623"/>
        <w:gridCol w:w="2624"/>
      </w:tblGrid>
      <w:tr w:rsidR="008B7BAE" w:rsidRPr="008B7BAE" w14:paraId="5E36928D" w14:textId="77777777" w:rsidTr="008B7BAE">
        <w:tc>
          <w:tcPr>
            <w:tcW w:w="14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79556" w14:textId="77777777" w:rsidR="008B7BAE" w:rsidRPr="008B7BAE" w:rsidRDefault="008B7BAE" w:rsidP="008B7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7A7EE19" wp14:editId="7065F332">
                  <wp:extent cx="795655" cy="60769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07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B5D0EB"/>
            <w:vAlign w:val="bottom"/>
          </w:tcPr>
          <w:p w14:paraId="79C8F561" w14:textId="77777777" w:rsidR="008B7BAE" w:rsidRPr="008B7BAE" w:rsidRDefault="008B7BAE" w:rsidP="008B7BAE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School Turnaround Practice</w:t>
            </w:r>
          </w:p>
        </w:tc>
        <w:tc>
          <w:tcPr>
            <w:tcW w:w="2623" w:type="dxa"/>
            <w:shd w:val="clear" w:color="auto" w:fill="B5D0EB"/>
            <w:vAlign w:val="bottom"/>
          </w:tcPr>
          <w:p w14:paraId="2D7A9515" w14:textId="77777777" w:rsidR="008B7BAE" w:rsidRPr="008B7BAE" w:rsidRDefault="008B7BAE" w:rsidP="008B7BAE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High-Quality Mentoring and Induction Practices</w:t>
            </w:r>
          </w:p>
        </w:tc>
        <w:tc>
          <w:tcPr>
            <w:tcW w:w="2623" w:type="dxa"/>
            <w:shd w:val="clear" w:color="auto" w:fill="B5D0EB"/>
            <w:vAlign w:val="bottom"/>
          </w:tcPr>
          <w:p w14:paraId="52B6106F" w14:textId="77777777" w:rsidR="008B7BAE" w:rsidRPr="008B7BAE" w:rsidRDefault="008B7BAE" w:rsidP="008B7BAE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 xml:space="preserve">State-Level </w:t>
            </w: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br/>
              <w:t>Reflection Questions</w:t>
            </w:r>
          </w:p>
        </w:tc>
        <w:tc>
          <w:tcPr>
            <w:tcW w:w="2623" w:type="dxa"/>
            <w:shd w:val="clear" w:color="auto" w:fill="B5D0EB"/>
            <w:vAlign w:val="bottom"/>
          </w:tcPr>
          <w:p w14:paraId="2DA148F1" w14:textId="77777777" w:rsidR="008B7BAE" w:rsidRPr="008B7BAE" w:rsidRDefault="008B7BAE" w:rsidP="008B7BAE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District-Level Reflection Questions</w:t>
            </w:r>
          </w:p>
        </w:tc>
        <w:tc>
          <w:tcPr>
            <w:tcW w:w="2624" w:type="dxa"/>
            <w:shd w:val="clear" w:color="auto" w:fill="B5D0EB"/>
            <w:vAlign w:val="bottom"/>
          </w:tcPr>
          <w:p w14:paraId="1F781E7E" w14:textId="77777777" w:rsidR="008B7BAE" w:rsidRPr="008B7BAE" w:rsidRDefault="008B7BAE" w:rsidP="008B7BAE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 xml:space="preserve">School-Level </w:t>
            </w: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br/>
              <w:t>Reflection Questions</w:t>
            </w:r>
          </w:p>
        </w:tc>
      </w:tr>
      <w:tr w:rsidR="008B7BAE" w:rsidRPr="008B7BAE" w14:paraId="4B26B985" w14:textId="77777777" w:rsidTr="008B7BAE">
        <w:trPr>
          <w:trHeight w:val="8567"/>
        </w:trPr>
        <w:tc>
          <w:tcPr>
            <w:tcW w:w="1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10FB3" w14:textId="77777777" w:rsidR="008B7BAE" w:rsidRPr="008B7BAE" w:rsidRDefault="008B7BAE" w:rsidP="008B7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14:paraId="70678BDE" w14:textId="4F6DC13A" w:rsidR="008B7BAE" w:rsidRPr="008B7BAE" w:rsidRDefault="008B7BAE" w:rsidP="008B7BAE">
            <w:pPr>
              <w:pStyle w:val="TableSubheading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8B7BAE">
              <w:rPr>
                <w:rFonts w:ascii="Times New Roman" w:hAnsi="Times New Roman"/>
                <w:sz w:val="22"/>
                <w:szCs w:val="22"/>
              </w:rPr>
              <w:t>Practice 1A: Prioritize improvement and communicate its urgency</w:t>
            </w:r>
          </w:p>
          <w:p w14:paraId="3427B69B" w14:textId="77777777" w:rsidR="008B7BAE" w:rsidRPr="008B7BAE" w:rsidRDefault="008B7BAE" w:rsidP="008B7BAE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8B7BAE">
              <w:rPr>
                <w:rFonts w:ascii="Times New Roman" w:hAnsi="Times New Roman"/>
                <w:sz w:val="22"/>
                <w:szCs w:val="22"/>
              </w:rPr>
              <w:t xml:space="preserve">What it looks like: </w:t>
            </w:r>
          </w:p>
          <w:p w14:paraId="729528EE" w14:textId="77777777" w:rsidR="008B7BAE" w:rsidRPr="008B7BAE" w:rsidRDefault="008B7BAE" w:rsidP="008B7BAE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8B7BAE">
              <w:rPr>
                <w:rFonts w:ascii="Times New Roman" w:hAnsi="Times New Roman"/>
                <w:sz w:val="22"/>
                <w:szCs w:val="22"/>
              </w:rPr>
              <w:t>Communicate a sense of urgency.</w:t>
            </w:r>
          </w:p>
          <w:p w14:paraId="5F501D62" w14:textId="77777777" w:rsidR="008B7BAE" w:rsidRPr="008B7BAE" w:rsidRDefault="008B7BAE" w:rsidP="008B7BAE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8B7BAE">
              <w:rPr>
                <w:rFonts w:ascii="Times New Roman" w:hAnsi="Times New Roman"/>
                <w:sz w:val="22"/>
                <w:szCs w:val="22"/>
              </w:rPr>
              <w:t>Articulate commitment to turning around lowest-performing schools.</w:t>
            </w:r>
          </w:p>
          <w:p w14:paraId="31BE8188" w14:textId="1F841A3C" w:rsidR="008B7BAE" w:rsidRPr="008B7BAE" w:rsidRDefault="008B7BAE" w:rsidP="008B7BAE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8B7BAE">
              <w:rPr>
                <w:rFonts w:ascii="Times New Roman" w:hAnsi="Times New Roman"/>
                <w:sz w:val="22"/>
                <w:szCs w:val="22"/>
              </w:rPr>
              <w:t>Set strategic direction for turnaround and establishes clear policies, structures, and expectations.</w:t>
            </w:r>
          </w:p>
        </w:tc>
        <w:tc>
          <w:tcPr>
            <w:tcW w:w="2623" w:type="dxa"/>
          </w:tcPr>
          <w:p w14:paraId="22A6FB72" w14:textId="77777777" w:rsidR="008B7BAE" w:rsidRPr="008B7BAE" w:rsidRDefault="008B7BAE" w:rsidP="008B7BAE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8B7BAE">
              <w:rPr>
                <w:rFonts w:ascii="Times New Roman" w:hAnsi="Times New Roman"/>
                <w:sz w:val="22"/>
                <w:szCs w:val="22"/>
              </w:rPr>
              <w:t>Clear roles and responsibilities for administrators</w:t>
            </w:r>
          </w:p>
          <w:p w14:paraId="586772CC" w14:textId="7B091662" w:rsidR="008B7BAE" w:rsidRPr="008B7BAE" w:rsidRDefault="008B7BAE" w:rsidP="008B7BAE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8B7BAE">
              <w:rPr>
                <w:rFonts w:ascii="Times New Roman" w:eastAsia="Batang" w:hAnsi="Times New Roman"/>
                <w:sz w:val="22"/>
                <w:szCs w:val="22"/>
              </w:rPr>
              <w:t>Collaboration with all stakeholders</w:t>
            </w:r>
          </w:p>
        </w:tc>
        <w:tc>
          <w:tcPr>
            <w:tcW w:w="2623" w:type="dxa"/>
          </w:tcPr>
          <w:p w14:paraId="38C7577B" w14:textId="77777777" w:rsidR="008B7BAE" w:rsidRPr="008B7BAE" w:rsidRDefault="008B7BAE" w:rsidP="008B7BAE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8B7BAE">
              <w:rPr>
                <w:rFonts w:ascii="Times New Roman" w:hAnsi="Times New Roman"/>
                <w:sz w:val="22"/>
                <w:szCs w:val="22"/>
              </w:rPr>
              <w:t>How will state leadership collaborate with local education agency (LEA) and school leaders in the development of an informed theory of action to guide state support for low-performing schools?</w:t>
            </w:r>
          </w:p>
          <w:p w14:paraId="456078BD" w14:textId="5273DCC7" w:rsidR="008B7BAE" w:rsidRPr="008B7BAE" w:rsidRDefault="008B7BAE" w:rsidP="008B7BAE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8B7BAE">
              <w:rPr>
                <w:rFonts w:ascii="Times New Roman" w:eastAsia="Batang" w:hAnsi="Times New Roman"/>
                <w:sz w:val="22"/>
                <w:szCs w:val="22"/>
              </w:rPr>
              <w:t>Who will comprise the state-level school turnaround team or cadre, and how will it communicate and coordinate work with the field?</w:t>
            </w:r>
          </w:p>
        </w:tc>
        <w:tc>
          <w:tcPr>
            <w:tcW w:w="2623" w:type="dxa"/>
          </w:tcPr>
          <w:p w14:paraId="30FC60AB" w14:textId="77777777" w:rsidR="008B7BAE" w:rsidRPr="008B7BAE" w:rsidRDefault="008B7BAE" w:rsidP="008B7BAE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8B7BAE">
              <w:rPr>
                <w:rFonts w:ascii="Times New Roman" w:hAnsi="Times New Roman"/>
                <w:sz w:val="22"/>
                <w:szCs w:val="22"/>
              </w:rPr>
              <w:t>How will the district communicate the link between school turnaround and a coordinated M&amp;I program?</w:t>
            </w:r>
          </w:p>
          <w:p w14:paraId="362571D1" w14:textId="77777777" w:rsidR="008B7BAE" w:rsidRPr="008B7BAE" w:rsidRDefault="008B7BAE" w:rsidP="008B7BAE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8B7BAE">
              <w:rPr>
                <w:rFonts w:ascii="Times New Roman" w:hAnsi="Times New Roman"/>
                <w:sz w:val="22"/>
                <w:szCs w:val="22"/>
              </w:rPr>
              <w:t>What process will the district use to appoint the LEA M&amp;I lead or team?</w:t>
            </w:r>
          </w:p>
          <w:p w14:paraId="127E4E68" w14:textId="558C300E" w:rsidR="008B7BAE" w:rsidRPr="008B7BAE" w:rsidRDefault="008B7BAE" w:rsidP="008B7BAE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8B7BAE">
              <w:rPr>
                <w:rFonts w:ascii="Times New Roman" w:eastAsia="Batang" w:hAnsi="Times New Roman"/>
                <w:sz w:val="22"/>
                <w:szCs w:val="22"/>
              </w:rPr>
              <w:t>What communication norms between the district and each school M&amp;I team will be established?</w:t>
            </w:r>
          </w:p>
        </w:tc>
        <w:tc>
          <w:tcPr>
            <w:tcW w:w="2624" w:type="dxa"/>
          </w:tcPr>
          <w:p w14:paraId="7284647B" w14:textId="77777777" w:rsidR="008B7BAE" w:rsidRPr="008B7BAE" w:rsidRDefault="008B7BAE" w:rsidP="008B7BAE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8B7BAE">
              <w:rPr>
                <w:rFonts w:ascii="Times New Roman" w:hAnsi="Times New Roman"/>
                <w:sz w:val="22"/>
                <w:szCs w:val="22"/>
              </w:rPr>
              <w:t>How will school leadership link its M&amp;I program to the school’s identified turnaround priorities?</w:t>
            </w:r>
          </w:p>
          <w:p w14:paraId="5C0FB64C" w14:textId="77777777" w:rsidR="008B7BAE" w:rsidRPr="008B7BAE" w:rsidRDefault="008B7BAE" w:rsidP="008B7BAE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8B7BAE">
              <w:rPr>
                <w:rFonts w:ascii="Times New Roman" w:hAnsi="Times New Roman"/>
                <w:sz w:val="22"/>
                <w:szCs w:val="22"/>
              </w:rPr>
              <w:t>What communication strategies will convey this connection? Who will share in the responsibility to articulate this connection?</w:t>
            </w:r>
          </w:p>
          <w:p w14:paraId="201DE9F4" w14:textId="77777777" w:rsidR="008B7BAE" w:rsidRPr="008B7BAE" w:rsidRDefault="008B7BAE" w:rsidP="008B7BAE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8B7BAE">
              <w:rPr>
                <w:rFonts w:ascii="Times New Roman" w:hAnsi="Times New Roman"/>
                <w:sz w:val="22"/>
                <w:szCs w:val="22"/>
              </w:rPr>
              <w:t>What process will school leadership use to identify M&amp;I leaders? What will be the specific authority of the M&amp;I leader/team?</w:t>
            </w:r>
          </w:p>
          <w:p w14:paraId="3DB7B1A4" w14:textId="36A4EEBD" w:rsidR="008B7BAE" w:rsidRPr="008B7BAE" w:rsidRDefault="008B7BAE" w:rsidP="008B7BAE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8B7BAE">
              <w:rPr>
                <w:rFonts w:ascii="Times New Roman" w:eastAsia="Batang" w:hAnsi="Times New Roman"/>
                <w:sz w:val="22"/>
                <w:szCs w:val="22"/>
              </w:rPr>
              <w:t>How will the M&amp;I team communicate with the school leadership team and with the faculty?</w:t>
            </w:r>
          </w:p>
        </w:tc>
      </w:tr>
    </w:tbl>
    <w:p w14:paraId="332CFEB2" w14:textId="5C0BFB2F" w:rsidR="008B7BAE" w:rsidRDefault="008B7BAE" w:rsidP="008B7BAE"/>
    <w:p w14:paraId="52B02AD7" w14:textId="1B5FA771" w:rsidR="008B7BAE" w:rsidRDefault="008B7BAE" w:rsidP="008B7BAE">
      <w:pPr>
        <w:tabs>
          <w:tab w:val="left" w:pos="13200"/>
        </w:tabs>
      </w:pPr>
      <w:r>
        <w:tab/>
      </w:r>
    </w:p>
    <w:p w14:paraId="20133186" w14:textId="77777777" w:rsidR="008B7BAE" w:rsidRDefault="008B7BAE" w:rsidP="008B7BAE">
      <w:pPr>
        <w:tabs>
          <w:tab w:val="left" w:pos="13200"/>
        </w:tabs>
      </w:pPr>
      <w:r w:rsidRPr="008B7BAE">
        <w:br w:type="page"/>
      </w:r>
      <w:r>
        <w:lastRenderedPageBreak/>
        <w:tab/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76"/>
        <w:gridCol w:w="2583"/>
        <w:gridCol w:w="2583"/>
        <w:gridCol w:w="2584"/>
        <w:gridCol w:w="2584"/>
        <w:gridCol w:w="2585"/>
      </w:tblGrid>
      <w:tr w:rsidR="008B7BAE" w:rsidRPr="008B7BAE" w14:paraId="039FD512" w14:textId="77777777" w:rsidTr="00BF63B9"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72454" w14:textId="77777777" w:rsidR="008B7BAE" w:rsidRPr="008B7BAE" w:rsidRDefault="008B7BAE" w:rsidP="008B7BAE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B7B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862CAB" wp14:editId="1A6C5B4A">
                  <wp:extent cx="795655" cy="607695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07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  <w:tcBorders>
              <w:left w:val="single" w:sz="4" w:space="0" w:color="auto"/>
            </w:tcBorders>
            <w:shd w:val="clear" w:color="auto" w:fill="B5D0EB"/>
            <w:vAlign w:val="bottom"/>
          </w:tcPr>
          <w:p w14:paraId="66496F00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School Turnaround Practice</w:t>
            </w:r>
          </w:p>
        </w:tc>
        <w:tc>
          <w:tcPr>
            <w:tcW w:w="2583" w:type="dxa"/>
            <w:shd w:val="clear" w:color="auto" w:fill="B5D0EB"/>
            <w:vAlign w:val="bottom"/>
          </w:tcPr>
          <w:p w14:paraId="2A342D97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High-Quality Mentoring and Induction Practices</w:t>
            </w:r>
          </w:p>
        </w:tc>
        <w:tc>
          <w:tcPr>
            <w:tcW w:w="2584" w:type="dxa"/>
            <w:shd w:val="clear" w:color="auto" w:fill="B5D0EB"/>
            <w:vAlign w:val="bottom"/>
          </w:tcPr>
          <w:p w14:paraId="2EC5C47C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 xml:space="preserve">State-Level </w:t>
            </w: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br/>
              <w:t>Reflection Questions</w:t>
            </w:r>
          </w:p>
        </w:tc>
        <w:tc>
          <w:tcPr>
            <w:tcW w:w="2584" w:type="dxa"/>
            <w:shd w:val="clear" w:color="auto" w:fill="B5D0EB"/>
            <w:vAlign w:val="bottom"/>
          </w:tcPr>
          <w:p w14:paraId="740F9F96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District-Level Reflection Questions</w:t>
            </w:r>
          </w:p>
        </w:tc>
        <w:tc>
          <w:tcPr>
            <w:tcW w:w="2585" w:type="dxa"/>
            <w:shd w:val="clear" w:color="auto" w:fill="B5D0EB"/>
            <w:vAlign w:val="bottom"/>
          </w:tcPr>
          <w:p w14:paraId="166A35D4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 xml:space="preserve">School-Level </w:t>
            </w: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br/>
              <w:t>Reflection Questions</w:t>
            </w:r>
          </w:p>
        </w:tc>
      </w:tr>
      <w:tr w:rsidR="009A4EA1" w:rsidRPr="008B7BAE" w14:paraId="7225F072" w14:textId="77777777" w:rsidTr="00BF63B9">
        <w:trPr>
          <w:trHeight w:val="8567"/>
        </w:trPr>
        <w:tc>
          <w:tcPr>
            <w:tcW w:w="14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DB8DB" w14:textId="77777777" w:rsidR="009A4EA1" w:rsidRPr="008B7BAE" w:rsidRDefault="009A4EA1" w:rsidP="009A4EA1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6FF7DF45" w14:textId="77777777" w:rsidR="009A4EA1" w:rsidRPr="009A4EA1" w:rsidRDefault="009A4EA1" w:rsidP="009A4EA1">
            <w:pPr>
              <w:pStyle w:val="TableSubheading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A4EA1">
              <w:rPr>
                <w:rFonts w:ascii="Times New Roman" w:hAnsi="Times New Roman"/>
                <w:sz w:val="22"/>
                <w:szCs w:val="22"/>
              </w:rPr>
              <w:t>Practice 1B: Monitor short- and long-term goals</w:t>
            </w:r>
          </w:p>
          <w:p w14:paraId="133D5FAB" w14:textId="77777777" w:rsidR="009A4EA1" w:rsidRPr="009A4EA1" w:rsidRDefault="009A4EA1" w:rsidP="009A4EA1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9A4EA1">
              <w:rPr>
                <w:rFonts w:ascii="Times New Roman" w:hAnsi="Times New Roman"/>
                <w:sz w:val="22"/>
                <w:szCs w:val="22"/>
              </w:rPr>
              <w:t>What it looks like:</w:t>
            </w:r>
          </w:p>
          <w:p w14:paraId="348BD181" w14:textId="77777777" w:rsidR="009A4EA1" w:rsidRPr="009A4EA1" w:rsidRDefault="009A4EA1" w:rsidP="009A4EA1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9A4EA1">
              <w:rPr>
                <w:rFonts w:ascii="Times New Roman" w:hAnsi="Times New Roman"/>
                <w:sz w:val="22"/>
                <w:szCs w:val="22"/>
              </w:rPr>
              <w:t>Monitor short-term and long-term goals and adjusts as needed.</w:t>
            </w:r>
          </w:p>
          <w:p w14:paraId="2829B31B" w14:textId="77777777" w:rsidR="009A4EA1" w:rsidRPr="009A4EA1" w:rsidRDefault="009A4EA1" w:rsidP="009A4EA1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9A4EA1">
              <w:rPr>
                <w:rFonts w:ascii="Times New Roman" w:hAnsi="Times New Roman"/>
                <w:sz w:val="22"/>
                <w:szCs w:val="22"/>
              </w:rPr>
              <w:t>Establish milestones.</w:t>
            </w:r>
          </w:p>
          <w:p w14:paraId="016CBE65" w14:textId="62C8D3EB" w:rsidR="009A4EA1" w:rsidRPr="009A4EA1" w:rsidRDefault="009A4EA1" w:rsidP="009A4EA1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9A4EA1">
              <w:rPr>
                <w:rFonts w:ascii="Times New Roman" w:eastAsia="Batang" w:hAnsi="Times New Roman"/>
                <w:sz w:val="22"/>
                <w:szCs w:val="22"/>
              </w:rPr>
              <w:t>Prioritize or target in on selective school needs.</w:t>
            </w:r>
          </w:p>
        </w:tc>
        <w:tc>
          <w:tcPr>
            <w:tcW w:w="2583" w:type="dxa"/>
          </w:tcPr>
          <w:p w14:paraId="7EBFBB62" w14:textId="77777777" w:rsidR="009A4EA1" w:rsidRPr="009A4EA1" w:rsidRDefault="009A4EA1" w:rsidP="009A4EA1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9A4EA1">
              <w:rPr>
                <w:rFonts w:ascii="Times New Roman" w:hAnsi="Times New Roman"/>
                <w:sz w:val="22"/>
                <w:szCs w:val="22"/>
              </w:rPr>
              <w:t>Professional teaching standards and data-driven conversations</w:t>
            </w:r>
          </w:p>
          <w:p w14:paraId="1C3DE867" w14:textId="77777777" w:rsidR="009A4EA1" w:rsidRPr="009A4EA1" w:rsidRDefault="009A4EA1" w:rsidP="009A4EA1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9A4EA1">
              <w:rPr>
                <w:rFonts w:ascii="Times New Roman" w:hAnsi="Times New Roman"/>
                <w:sz w:val="22"/>
                <w:szCs w:val="22"/>
              </w:rPr>
              <w:t>Clear roles and responsibilities for administrators</w:t>
            </w:r>
          </w:p>
          <w:p w14:paraId="7A1EB19C" w14:textId="0E096F8B" w:rsidR="009A4EA1" w:rsidRPr="009A4EA1" w:rsidRDefault="009A4EA1" w:rsidP="009A4EA1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9A4EA1">
              <w:rPr>
                <w:rFonts w:ascii="Times New Roman" w:eastAsia="Batang" w:hAnsi="Times New Roman"/>
                <w:sz w:val="22"/>
                <w:szCs w:val="22"/>
              </w:rPr>
              <w:t>Collaboration with all stakeholders</w:t>
            </w:r>
          </w:p>
        </w:tc>
        <w:tc>
          <w:tcPr>
            <w:tcW w:w="2584" w:type="dxa"/>
          </w:tcPr>
          <w:p w14:paraId="35FE7E6D" w14:textId="77777777" w:rsidR="009A4EA1" w:rsidRPr="009A4EA1" w:rsidRDefault="009A4EA1" w:rsidP="009A4EA1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9A4EA1">
              <w:rPr>
                <w:rFonts w:ascii="Times New Roman" w:hAnsi="Times New Roman"/>
                <w:sz w:val="22"/>
                <w:szCs w:val="22"/>
              </w:rPr>
              <w:t xml:space="preserve">What process will state leaders use to identify resources and strategies to assist districts in setting student outcome goals and developing and monitoring improvement and turnaround plans with goal-aligned implementation milestones and annual target measures? </w:t>
            </w:r>
          </w:p>
          <w:p w14:paraId="78EF4ABC" w14:textId="7F44DDE8" w:rsidR="009A4EA1" w:rsidRPr="009A4EA1" w:rsidRDefault="009A4EA1" w:rsidP="009A4EA1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9A4EA1">
              <w:rPr>
                <w:rFonts w:ascii="Times New Roman" w:eastAsia="Batang" w:hAnsi="Times New Roman"/>
                <w:sz w:val="22"/>
                <w:szCs w:val="22"/>
              </w:rPr>
              <w:t xml:space="preserve">How will these plans inform LEA and school-level goal setting and monitoring strategies for M&amp;I? </w:t>
            </w:r>
          </w:p>
        </w:tc>
        <w:tc>
          <w:tcPr>
            <w:tcW w:w="2584" w:type="dxa"/>
          </w:tcPr>
          <w:p w14:paraId="1D7F3199" w14:textId="77777777" w:rsidR="009A4EA1" w:rsidRPr="009A4EA1" w:rsidRDefault="009A4EA1" w:rsidP="009A4EA1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9A4EA1">
              <w:rPr>
                <w:rFonts w:ascii="Times New Roman" w:hAnsi="Times New Roman"/>
                <w:sz w:val="22"/>
                <w:szCs w:val="22"/>
              </w:rPr>
              <w:t xml:space="preserve">What resources will the district M&amp;I team utilize to train itself and school-level M&amp;I teams in M&amp;I best practices?  </w:t>
            </w:r>
          </w:p>
          <w:p w14:paraId="291BC5BE" w14:textId="77777777" w:rsidR="009A4EA1" w:rsidRPr="009A4EA1" w:rsidRDefault="009A4EA1" w:rsidP="009A4EA1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9A4EA1">
              <w:rPr>
                <w:rFonts w:ascii="Times New Roman" w:hAnsi="Times New Roman"/>
                <w:sz w:val="22"/>
                <w:szCs w:val="22"/>
              </w:rPr>
              <w:t>What program and process elements will the district require of school M&amp;I programs?</w:t>
            </w:r>
          </w:p>
          <w:p w14:paraId="63D75588" w14:textId="297DC37F" w:rsidR="009A4EA1" w:rsidRPr="009A4EA1" w:rsidRDefault="009A4EA1" w:rsidP="009A4EA1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9A4EA1">
              <w:rPr>
                <w:rFonts w:ascii="Times New Roman" w:eastAsia="Batang" w:hAnsi="Times New Roman"/>
                <w:sz w:val="22"/>
                <w:szCs w:val="22"/>
              </w:rPr>
              <w:t xml:space="preserve">What process will the district utilize to review its M&amp;I program annually and make refinements? </w:t>
            </w:r>
          </w:p>
        </w:tc>
        <w:tc>
          <w:tcPr>
            <w:tcW w:w="2585" w:type="dxa"/>
          </w:tcPr>
          <w:p w14:paraId="1237C236" w14:textId="77777777" w:rsidR="009A4EA1" w:rsidRPr="009A4EA1" w:rsidRDefault="009A4EA1" w:rsidP="009A4EA1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9A4EA1">
              <w:rPr>
                <w:rFonts w:ascii="Times New Roman" w:hAnsi="Times New Roman"/>
                <w:sz w:val="22"/>
                <w:szCs w:val="22"/>
              </w:rPr>
              <w:t xml:space="preserve">How will the school M&amp;I team set program goals for the first year and review those goals to make refinements in ensuing years? </w:t>
            </w:r>
          </w:p>
          <w:p w14:paraId="31F07E31" w14:textId="002254D5" w:rsidR="009A4EA1" w:rsidRPr="009A4EA1" w:rsidRDefault="009A4EA1" w:rsidP="009A4EA1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9A4EA1">
              <w:rPr>
                <w:rFonts w:ascii="Times New Roman" w:eastAsia="Batang" w:hAnsi="Times New Roman"/>
                <w:sz w:val="22"/>
                <w:szCs w:val="22"/>
              </w:rPr>
              <w:t xml:space="preserve">What data will inform both the goals established and the program review? </w:t>
            </w:r>
          </w:p>
        </w:tc>
      </w:tr>
    </w:tbl>
    <w:p w14:paraId="686B172B" w14:textId="401D203C" w:rsidR="008B7BAE" w:rsidRDefault="008B7BAE"/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476"/>
        <w:gridCol w:w="2583"/>
        <w:gridCol w:w="2583"/>
        <w:gridCol w:w="2584"/>
        <w:gridCol w:w="2584"/>
        <w:gridCol w:w="2585"/>
      </w:tblGrid>
      <w:tr w:rsidR="008B7BAE" w:rsidRPr="008B7BAE" w14:paraId="7C67AD52" w14:textId="77777777" w:rsidTr="00BF63B9"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9B7DC" w14:textId="77777777" w:rsidR="008B7BAE" w:rsidRPr="008B7BAE" w:rsidRDefault="008B7BAE" w:rsidP="008B7BAE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B7B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278FA27" wp14:editId="7621534D">
                  <wp:extent cx="795655" cy="607695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07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  <w:tcBorders>
              <w:left w:val="single" w:sz="4" w:space="0" w:color="auto"/>
            </w:tcBorders>
            <w:shd w:val="clear" w:color="auto" w:fill="B5D0EB"/>
            <w:vAlign w:val="bottom"/>
          </w:tcPr>
          <w:p w14:paraId="237F5CF3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School Turnaround Practice</w:t>
            </w:r>
          </w:p>
        </w:tc>
        <w:tc>
          <w:tcPr>
            <w:tcW w:w="2583" w:type="dxa"/>
            <w:shd w:val="clear" w:color="auto" w:fill="B5D0EB"/>
            <w:vAlign w:val="bottom"/>
          </w:tcPr>
          <w:p w14:paraId="681D8A93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High-Quality Mentoring and Induction Practices</w:t>
            </w:r>
          </w:p>
        </w:tc>
        <w:tc>
          <w:tcPr>
            <w:tcW w:w="2584" w:type="dxa"/>
            <w:shd w:val="clear" w:color="auto" w:fill="B5D0EB"/>
            <w:vAlign w:val="bottom"/>
          </w:tcPr>
          <w:p w14:paraId="505A215D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State-Level</w:t>
            </w: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br/>
              <w:t>Reflection Questions</w:t>
            </w:r>
          </w:p>
        </w:tc>
        <w:tc>
          <w:tcPr>
            <w:tcW w:w="2584" w:type="dxa"/>
            <w:shd w:val="clear" w:color="auto" w:fill="B5D0EB"/>
            <w:vAlign w:val="bottom"/>
          </w:tcPr>
          <w:p w14:paraId="2CBEBF35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District-Level Reflection Questions</w:t>
            </w:r>
          </w:p>
        </w:tc>
        <w:tc>
          <w:tcPr>
            <w:tcW w:w="2585" w:type="dxa"/>
            <w:shd w:val="clear" w:color="auto" w:fill="B5D0EB"/>
            <w:vAlign w:val="bottom"/>
          </w:tcPr>
          <w:p w14:paraId="2CBA269A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School-Level</w:t>
            </w: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br/>
              <w:t>Reflection Questions</w:t>
            </w:r>
          </w:p>
        </w:tc>
      </w:tr>
      <w:tr w:rsidR="00BE3B33" w:rsidRPr="008B7BAE" w14:paraId="590DD388" w14:textId="77777777" w:rsidTr="00BF63B9">
        <w:trPr>
          <w:trHeight w:val="8567"/>
        </w:trPr>
        <w:tc>
          <w:tcPr>
            <w:tcW w:w="14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118A7" w14:textId="77777777" w:rsidR="00BE3B33" w:rsidRPr="008B7BAE" w:rsidRDefault="00BE3B33" w:rsidP="00BE3B33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5BA96F49" w14:textId="77777777" w:rsidR="00BE3B33" w:rsidRPr="00BE3B33" w:rsidRDefault="00BE3B33" w:rsidP="00BE3B33">
            <w:pPr>
              <w:pStyle w:val="TableSubheading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BE3B33">
              <w:rPr>
                <w:rFonts w:ascii="Times New Roman" w:hAnsi="Times New Roman"/>
                <w:sz w:val="22"/>
                <w:szCs w:val="22"/>
              </w:rPr>
              <w:t>Practice 1C: Customize and target support to meet needs</w:t>
            </w:r>
          </w:p>
          <w:p w14:paraId="0E1F1951" w14:textId="77777777" w:rsidR="00BE3B33" w:rsidRPr="00BE3B33" w:rsidRDefault="00BE3B33" w:rsidP="00BE3B33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BE3B33">
              <w:rPr>
                <w:rFonts w:ascii="Times New Roman" w:hAnsi="Times New Roman"/>
                <w:sz w:val="22"/>
                <w:szCs w:val="22"/>
              </w:rPr>
              <w:t>What it looks like:</w:t>
            </w:r>
          </w:p>
          <w:p w14:paraId="5A1AEB13" w14:textId="77777777" w:rsidR="00BE3B33" w:rsidRPr="00BE3B33" w:rsidRDefault="00BE3B33" w:rsidP="00BE3B33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BE3B33">
              <w:rPr>
                <w:rFonts w:ascii="Times New Roman" w:hAnsi="Times New Roman"/>
                <w:sz w:val="22"/>
                <w:szCs w:val="22"/>
              </w:rPr>
              <w:t>Build principal distributes leadership among faculty and staff.</w:t>
            </w:r>
          </w:p>
          <w:p w14:paraId="19245F01" w14:textId="77777777" w:rsidR="00BE3B33" w:rsidRPr="00BE3B33" w:rsidRDefault="00BE3B33" w:rsidP="00BE3B33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BE3B33">
              <w:rPr>
                <w:rFonts w:ascii="Times New Roman" w:hAnsi="Times New Roman"/>
                <w:sz w:val="22"/>
                <w:szCs w:val="22"/>
              </w:rPr>
              <w:t>Customize targeted, timely support for turnaround efforts.</w:t>
            </w:r>
          </w:p>
          <w:p w14:paraId="11F0A870" w14:textId="52EA114E" w:rsidR="00BE3B33" w:rsidRPr="00BE3B33" w:rsidRDefault="00BE3B33" w:rsidP="00BE3B33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BE3B33">
              <w:rPr>
                <w:rFonts w:ascii="Times New Roman" w:hAnsi="Times New Roman"/>
                <w:sz w:val="22"/>
                <w:szCs w:val="22"/>
              </w:rPr>
              <w:t>T</w:t>
            </w:r>
            <w:r w:rsidRPr="00BE3B33">
              <w:rPr>
                <w:rFonts w:ascii="Times New Roman" w:eastAsia="Batang" w:hAnsi="Times New Roman"/>
                <w:sz w:val="22"/>
                <w:szCs w:val="22"/>
              </w:rPr>
              <w:t>arget job-embedded professional learning opportunities to build rapid school improvement capacity.</w:t>
            </w:r>
          </w:p>
        </w:tc>
        <w:tc>
          <w:tcPr>
            <w:tcW w:w="2583" w:type="dxa"/>
          </w:tcPr>
          <w:p w14:paraId="256D615E" w14:textId="77777777" w:rsidR="00BE3B33" w:rsidRPr="00BE3B33" w:rsidRDefault="00BE3B33" w:rsidP="00BE3B33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BE3B33">
              <w:rPr>
                <w:rFonts w:ascii="Times New Roman" w:hAnsi="Times New Roman"/>
                <w:sz w:val="22"/>
                <w:szCs w:val="22"/>
              </w:rPr>
              <w:t>Sanctioned time for mentor–teacher interactions</w:t>
            </w:r>
          </w:p>
          <w:p w14:paraId="6EA5F701" w14:textId="703D1588" w:rsidR="00BE3B33" w:rsidRPr="00BE3B33" w:rsidRDefault="00BE3B33" w:rsidP="00BE3B33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BE3B33">
              <w:rPr>
                <w:rFonts w:ascii="Times New Roman" w:eastAsia="Batang" w:hAnsi="Times New Roman"/>
                <w:sz w:val="22"/>
                <w:szCs w:val="22"/>
              </w:rPr>
              <w:t>Multiyear mentoring</w:t>
            </w:r>
            <w:r w:rsidRPr="00BE3B33">
              <w:rPr>
                <w:rFonts w:ascii="Times New Roman" w:eastAsia="Batang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4" w:type="dxa"/>
          </w:tcPr>
          <w:p w14:paraId="7001E2FD" w14:textId="7391AF1D" w:rsidR="00BE3B33" w:rsidRPr="008B7BAE" w:rsidRDefault="00BE3B33" w:rsidP="00BE3B33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BE3B33">
              <w:rPr>
                <w:rFonts w:ascii="Times New Roman" w:hAnsi="Times New Roman"/>
                <w:sz w:val="22"/>
                <w:szCs w:val="22"/>
              </w:rPr>
              <w:t xml:space="preserve">How will the state collaborate with LEA leaders to design opportunities for LEAs to convene and share their design and implementation plans for effective </w:t>
            </w:r>
            <w:r w:rsidR="00477A0C">
              <w:rPr>
                <w:rFonts w:ascii="Times New Roman" w:hAnsi="Times New Roman"/>
                <w:sz w:val="22"/>
                <w:szCs w:val="22"/>
              </w:rPr>
              <w:t>M&amp;I</w:t>
            </w:r>
            <w:r w:rsidRPr="00BE3B33">
              <w:rPr>
                <w:rFonts w:ascii="Times New Roman" w:hAnsi="Times New Roman"/>
                <w:sz w:val="22"/>
                <w:szCs w:val="22"/>
              </w:rPr>
              <w:t xml:space="preserve"> programs?</w:t>
            </w:r>
          </w:p>
        </w:tc>
        <w:tc>
          <w:tcPr>
            <w:tcW w:w="2584" w:type="dxa"/>
          </w:tcPr>
          <w:p w14:paraId="136DE70B" w14:textId="702E6014" w:rsidR="00BE3B33" w:rsidRPr="00BE3B33" w:rsidRDefault="00BE3B33" w:rsidP="00BE3B33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BE3B33">
              <w:rPr>
                <w:rFonts w:ascii="Times New Roman" w:eastAsia="Batang" w:hAnsi="Times New Roman"/>
                <w:sz w:val="22"/>
                <w:szCs w:val="22"/>
              </w:rPr>
              <w:t xml:space="preserve">What process will the district develop to allow networking and collaboration among school M&amp;I teams? </w:t>
            </w:r>
          </w:p>
        </w:tc>
        <w:tc>
          <w:tcPr>
            <w:tcW w:w="2585" w:type="dxa"/>
          </w:tcPr>
          <w:p w14:paraId="24B46017" w14:textId="77777777" w:rsidR="00BE3B33" w:rsidRPr="00BE3B33" w:rsidRDefault="00BE3B33" w:rsidP="00BE3B33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BE3B33">
              <w:rPr>
                <w:rFonts w:ascii="Times New Roman" w:hAnsi="Times New Roman"/>
                <w:sz w:val="22"/>
                <w:szCs w:val="22"/>
              </w:rPr>
              <w:t>How will the school M&amp;I team monitor the needs of teachers in the school M&amp;I program?</w:t>
            </w:r>
          </w:p>
          <w:p w14:paraId="502C92F0" w14:textId="36D7192A" w:rsidR="00BE3B33" w:rsidRPr="00BE3B33" w:rsidRDefault="00BE3B33" w:rsidP="00BE3B33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BE3B33">
              <w:rPr>
                <w:rFonts w:ascii="Times New Roman" w:eastAsia="Batang" w:hAnsi="Times New Roman"/>
                <w:sz w:val="22"/>
                <w:szCs w:val="22"/>
              </w:rPr>
              <w:t xml:space="preserve">What strategies will the school M&amp;I team use to provide training to coaches in alignment with best practices and program design? </w:t>
            </w:r>
          </w:p>
        </w:tc>
      </w:tr>
    </w:tbl>
    <w:p w14:paraId="1EB287F3" w14:textId="2F2E721A" w:rsidR="008B7BAE" w:rsidRDefault="008B7BAE" w:rsidP="008B7BAE"/>
    <w:p w14:paraId="23DC1A9A" w14:textId="77777777" w:rsidR="008B7BAE" w:rsidRDefault="008B7BAE">
      <w:r>
        <w:br w:type="page"/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476"/>
        <w:gridCol w:w="2583"/>
        <w:gridCol w:w="2583"/>
        <w:gridCol w:w="2584"/>
        <w:gridCol w:w="2584"/>
        <w:gridCol w:w="2585"/>
      </w:tblGrid>
      <w:tr w:rsidR="008B7BAE" w:rsidRPr="008B7BAE" w14:paraId="7DC37D61" w14:textId="77777777" w:rsidTr="00BF63B9"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C889" w14:textId="77777777" w:rsidR="008B7BAE" w:rsidRPr="008B7BAE" w:rsidRDefault="008B7BAE" w:rsidP="008B7BAE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B7B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94B7E4B" wp14:editId="6038EA92">
                  <wp:extent cx="777240" cy="6060440"/>
                  <wp:effectExtent l="0" t="0" r="10160" b="1016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 Shot 2017-10-26 at 9.08.51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606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  <w:tcBorders>
              <w:left w:val="single" w:sz="4" w:space="0" w:color="auto"/>
            </w:tcBorders>
            <w:shd w:val="clear" w:color="auto" w:fill="B5D0EB"/>
            <w:vAlign w:val="bottom"/>
          </w:tcPr>
          <w:p w14:paraId="18DFDF34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School Turnaround Practice</w:t>
            </w:r>
          </w:p>
        </w:tc>
        <w:tc>
          <w:tcPr>
            <w:tcW w:w="2583" w:type="dxa"/>
            <w:shd w:val="clear" w:color="auto" w:fill="B5D0EB"/>
            <w:vAlign w:val="bottom"/>
          </w:tcPr>
          <w:p w14:paraId="5F82808A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High-Quality Mentoring and Induction Practices</w:t>
            </w:r>
          </w:p>
        </w:tc>
        <w:tc>
          <w:tcPr>
            <w:tcW w:w="2584" w:type="dxa"/>
            <w:shd w:val="clear" w:color="auto" w:fill="B5D0EB"/>
            <w:vAlign w:val="bottom"/>
          </w:tcPr>
          <w:p w14:paraId="2C8A263F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State-Level</w:t>
            </w: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br/>
              <w:t>Reflection Questions</w:t>
            </w:r>
          </w:p>
        </w:tc>
        <w:tc>
          <w:tcPr>
            <w:tcW w:w="2584" w:type="dxa"/>
            <w:shd w:val="clear" w:color="auto" w:fill="B5D0EB"/>
            <w:vAlign w:val="bottom"/>
          </w:tcPr>
          <w:p w14:paraId="4AE9F8E2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District-Level Reflection Questions</w:t>
            </w:r>
          </w:p>
        </w:tc>
        <w:tc>
          <w:tcPr>
            <w:tcW w:w="2585" w:type="dxa"/>
            <w:shd w:val="clear" w:color="auto" w:fill="B5D0EB"/>
            <w:vAlign w:val="bottom"/>
          </w:tcPr>
          <w:p w14:paraId="0CFDC036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School-Level</w:t>
            </w: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br/>
              <w:t>Reflection Questions</w:t>
            </w:r>
          </w:p>
        </w:tc>
      </w:tr>
      <w:tr w:rsidR="00501B7D" w:rsidRPr="008B7BAE" w14:paraId="1E3884CD" w14:textId="77777777" w:rsidTr="00BF63B9">
        <w:trPr>
          <w:trHeight w:val="8567"/>
        </w:trPr>
        <w:tc>
          <w:tcPr>
            <w:tcW w:w="14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DE10E" w14:textId="77777777" w:rsidR="00501B7D" w:rsidRPr="008B7BAE" w:rsidRDefault="00501B7D" w:rsidP="00501B7D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795FCF9D" w14:textId="77777777" w:rsidR="00501B7D" w:rsidRPr="00501B7D" w:rsidRDefault="00501B7D" w:rsidP="00501B7D">
            <w:pPr>
              <w:pStyle w:val="TableSubheading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Practice 2A: Recruit, develop, retain, and sustain talent</w:t>
            </w:r>
          </w:p>
          <w:p w14:paraId="6BACA5B4" w14:textId="77777777" w:rsidR="00501B7D" w:rsidRPr="00501B7D" w:rsidRDefault="00501B7D" w:rsidP="00501B7D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What it looks like:</w:t>
            </w:r>
          </w:p>
          <w:p w14:paraId="595DEB57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Turnaround competencies are identified to select and develop turnaround teachers, model teachers and leaders.</w:t>
            </w:r>
          </w:p>
          <w:p w14:paraId="66CF2E8B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Multiple sources of data match candidate skills and competencies to school needs, prioritizing the highest-need schools.</w:t>
            </w:r>
          </w:p>
          <w:p w14:paraId="43357890" w14:textId="353973C5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Leadership leverages and maximizes the effectiveness of high-performing teachers, coaches, and leaders by using them as models and peer coaches.</w:t>
            </w:r>
          </w:p>
        </w:tc>
        <w:tc>
          <w:tcPr>
            <w:tcW w:w="2583" w:type="dxa"/>
          </w:tcPr>
          <w:p w14:paraId="07976E20" w14:textId="30951F68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Rigorous mentor selection based on qualities of an effective mentor</w:t>
            </w:r>
          </w:p>
          <w:p w14:paraId="755F0E3E" w14:textId="4537DAB8" w:rsidR="00501B7D" w:rsidRPr="008B7BAE" w:rsidRDefault="00501B7D" w:rsidP="00501B7D">
            <w:pPr>
              <w:spacing w:before="40" w:after="40"/>
              <w:ind w:left="225" w:hanging="2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</w:tcPr>
          <w:p w14:paraId="4DFAB897" w14:textId="209C30C8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 xml:space="preserve">What process will the state use to develop and identify examples of exemplary district </w:t>
            </w:r>
            <w:r w:rsidR="00477A0C">
              <w:rPr>
                <w:rFonts w:ascii="Times New Roman" w:hAnsi="Times New Roman"/>
                <w:sz w:val="22"/>
                <w:szCs w:val="22"/>
              </w:rPr>
              <w:t>M&amp;I</w:t>
            </w:r>
            <w:r w:rsidRPr="00501B7D">
              <w:rPr>
                <w:rFonts w:ascii="Times New Roman" w:hAnsi="Times New Roman"/>
                <w:sz w:val="22"/>
                <w:szCs w:val="22"/>
              </w:rPr>
              <w:t xml:space="preserve"> policy and district/school practice on talent recruitment and development related to turnaround competencies?</w:t>
            </w:r>
          </w:p>
          <w:p w14:paraId="04C8D8D7" w14:textId="2688666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 xml:space="preserve">In what structure will these be shared with LEAs and schools? </w:t>
            </w:r>
          </w:p>
        </w:tc>
        <w:tc>
          <w:tcPr>
            <w:tcW w:w="2584" w:type="dxa"/>
          </w:tcPr>
          <w:p w14:paraId="02D8B2C7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How will the district and M&amp;I team use teacher turnaround competencies to inform recruitment and professional development of teachers, mentors, and coaches?</w:t>
            </w:r>
          </w:p>
          <w:p w14:paraId="5729B52B" w14:textId="4BD9EFFE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What parameters will the district develop to ensure consistency of rigor across schools in the selection and review of coach and mentor effectiveness?</w:t>
            </w:r>
          </w:p>
        </w:tc>
        <w:tc>
          <w:tcPr>
            <w:tcW w:w="2585" w:type="dxa"/>
          </w:tcPr>
          <w:p w14:paraId="5716FD09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What process will be used to identify teacher leaders to serve in mentor and coaching roles and to help lead teacher induction?</w:t>
            </w:r>
          </w:p>
          <w:p w14:paraId="27F62DCB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How will the school match mentors with new or struggling teachers?</w:t>
            </w:r>
          </w:p>
          <w:p w14:paraId="0E000024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What data or process will the school use?</w:t>
            </w:r>
          </w:p>
          <w:p w14:paraId="05EADD4D" w14:textId="31121615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 xml:space="preserve">How will the school monitor and evaluate the effectiveness of its mentors and coaches? </w:t>
            </w:r>
          </w:p>
        </w:tc>
      </w:tr>
    </w:tbl>
    <w:p w14:paraId="5D3AADE7" w14:textId="4E4F250E" w:rsidR="008B7BAE" w:rsidRDefault="008B7BAE" w:rsidP="008B7BAE"/>
    <w:p w14:paraId="79D87D48" w14:textId="77777777" w:rsidR="008B7BAE" w:rsidRDefault="008B7BAE">
      <w:r>
        <w:br w:type="page"/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476"/>
        <w:gridCol w:w="2583"/>
        <w:gridCol w:w="2583"/>
        <w:gridCol w:w="2584"/>
        <w:gridCol w:w="2584"/>
        <w:gridCol w:w="2585"/>
      </w:tblGrid>
      <w:tr w:rsidR="008B7BAE" w:rsidRPr="008B7BAE" w14:paraId="511AD405" w14:textId="77777777" w:rsidTr="00BF63B9"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EE09C" w14:textId="77777777" w:rsidR="008B7BAE" w:rsidRPr="008B7BAE" w:rsidRDefault="008B7BAE" w:rsidP="008B7BAE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B7B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667A1B6" wp14:editId="10B38C7A">
                  <wp:extent cx="777240" cy="552450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 Shot 2017-10-26 at 9.08.51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52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  <w:tcBorders>
              <w:left w:val="single" w:sz="4" w:space="0" w:color="auto"/>
            </w:tcBorders>
            <w:shd w:val="clear" w:color="auto" w:fill="B5D0EB"/>
            <w:vAlign w:val="bottom"/>
          </w:tcPr>
          <w:p w14:paraId="19FB9A24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School Turnaround Practice</w:t>
            </w:r>
          </w:p>
        </w:tc>
        <w:tc>
          <w:tcPr>
            <w:tcW w:w="2583" w:type="dxa"/>
            <w:shd w:val="clear" w:color="auto" w:fill="B5D0EB"/>
            <w:vAlign w:val="bottom"/>
          </w:tcPr>
          <w:p w14:paraId="64551168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High-Quality Mentoring and Induction Practices</w:t>
            </w:r>
          </w:p>
        </w:tc>
        <w:tc>
          <w:tcPr>
            <w:tcW w:w="2584" w:type="dxa"/>
            <w:shd w:val="clear" w:color="auto" w:fill="B5D0EB"/>
            <w:vAlign w:val="bottom"/>
          </w:tcPr>
          <w:p w14:paraId="2E89BF6D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State-Level</w:t>
            </w: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br/>
              <w:t>Reflection Questions</w:t>
            </w:r>
          </w:p>
        </w:tc>
        <w:tc>
          <w:tcPr>
            <w:tcW w:w="2584" w:type="dxa"/>
            <w:shd w:val="clear" w:color="auto" w:fill="B5D0EB"/>
            <w:vAlign w:val="bottom"/>
          </w:tcPr>
          <w:p w14:paraId="75818552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District-Level Reflection Questions</w:t>
            </w:r>
          </w:p>
        </w:tc>
        <w:tc>
          <w:tcPr>
            <w:tcW w:w="2585" w:type="dxa"/>
            <w:shd w:val="clear" w:color="auto" w:fill="B5D0EB"/>
            <w:vAlign w:val="bottom"/>
          </w:tcPr>
          <w:p w14:paraId="04E49AFF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School-Level</w:t>
            </w: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br/>
              <w:t>Reflection Questions</w:t>
            </w:r>
          </w:p>
        </w:tc>
      </w:tr>
      <w:tr w:rsidR="00501B7D" w:rsidRPr="008B7BAE" w14:paraId="721262DD" w14:textId="77777777" w:rsidTr="00BF63B9">
        <w:trPr>
          <w:trHeight w:val="7928"/>
        </w:trPr>
        <w:tc>
          <w:tcPr>
            <w:tcW w:w="14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A42D" w14:textId="77777777" w:rsidR="00501B7D" w:rsidRPr="008B7BAE" w:rsidRDefault="00501B7D" w:rsidP="00501B7D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34E77D76" w14:textId="77777777" w:rsidR="00501B7D" w:rsidRPr="00501B7D" w:rsidRDefault="00501B7D" w:rsidP="00501B7D">
            <w:pPr>
              <w:pStyle w:val="TableSubheading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Practice 2B: Target professional learning opportunities</w:t>
            </w:r>
          </w:p>
          <w:p w14:paraId="2FC4EB1D" w14:textId="77777777" w:rsidR="00501B7D" w:rsidRPr="00501B7D" w:rsidRDefault="00501B7D" w:rsidP="00501B7D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What it looks like:</w:t>
            </w:r>
          </w:p>
          <w:p w14:paraId="56ECB0D2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Proactively recruits and develops talent with turnaround-specific competencies.</w:t>
            </w:r>
          </w:p>
          <w:p w14:paraId="1A70CDF6" w14:textId="600EB044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D</w:t>
            </w:r>
            <w:r w:rsidRPr="00501B7D">
              <w:rPr>
                <w:rFonts w:ascii="Times New Roman" w:eastAsia="Batang" w:hAnsi="Times New Roman"/>
                <w:sz w:val="22"/>
                <w:szCs w:val="22"/>
              </w:rPr>
              <w:t>evelops and implements performance-management processes with flexibility to rapidly respond to professional learning needs.</w:t>
            </w:r>
          </w:p>
        </w:tc>
        <w:tc>
          <w:tcPr>
            <w:tcW w:w="2583" w:type="dxa"/>
          </w:tcPr>
          <w:p w14:paraId="6EB8E69E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Ongoing professional development and support for mentors</w:t>
            </w:r>
          </w:p>
          <w:p w14:paraId="53F43B17" w14:textId="46744065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Ongoing beginning teacher professional development</w:t>
            </w:r>
          </w:p>
        </w:tc>
        <w:tc>
          <w:tcPr>
            <w:tcW w:w="2584" w:type="dxa"/>
          </w:tcPr>
          <w:p w14:paraId="01903D73" w14:textId="6EB5421D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 xml:space="preserve">What process will the state use to develop and identify examples of exemplary district </w:t>
            </w:r>
            <w:r w:rsidR="00477A0C">
              <w:rPr>
                <w:rFonts w:ascii="Times New Roman" w:hAnsi="Times New Roman"/>
                <w:sz w:val="22"/>
                <w:szCs w:val="22"/>
              </w:rPr>
              <w:t>M&amp;I</w:t>
            </w:r>
            <w:r w:rsidRPr="00501B7D">
              <w:rPr>
                <w:rFonts w:ascii="Times New Roman" w:hAnsi="Times New Roman"/>
                <w:sz w:val="22"/>
                <w:szCs w:val="22"/>
              </w:rPr>
              <w:t xml:space="preserve"> policy and district/school practice on talent recruitment and development related to turnaround competencies?</w:t>
            </w:r>
          </w:p>
          <w:p w14:paraId="1A31C37F" w14:textId="15920453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In what structure will these be shared with LEAs and schools?</w:t>
            </w:r>
          </w:p>
        </w:tc>
        <w:tc>
          <w:tcPr>
            <w:tcW w:w="2584" w:type="dxa"/>
          </w:tcPr>
          <w:p w14:paraId="6ABBC104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How will the district structure, develop, and prioritize differentiated and high-quality professional learning opportunities for school and instructional leaders?</w:t>
            </w:r>
          </w:p>
          <w:p w14:paraId="75A1AC46" w14:textId="3FE8B2D6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How will the district monitor and evaluate its professional learning program?</w:t>
            </w:r>
          </w:p>
        </w:tc>
        <w:tc>
          <w:tcPr>
            <w:tcW w:w="2585" w:type="dxa"/>
          </w:tcPr>
          <w:p w14:paraId="30458E1C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What structure will school leadership develop to ensure that every teacher has access to instructional coaching and professional learning opportunities?</w:t>
            </w:r>
          </w:p>
          <w:p w14:paraId="7ACBA8A9" w14:textId="77699C63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How will school leadership create opportunities for teachers to learn collaboratively to refine instructional practices?</w:t>
            </w:r>
          </w:p>
        </w:tc>
      </w:tr>
    </w:tbl>
    <w:p w14:paraId="48A2B556" w14:textId="00A8C7C8" w:rsidR="008B7BAE" w:rsidRDefault="008B7BAE" w:rsidP="008B7BAE"/>
    <w:p w14:paraId="6604F089" w14:textId="77777777" w:rsidR="008B7BAE" w:rsidRDefault="008B7BAE">
      <w:r>
        <w:br w:type="page"/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476"/>
        <w:gridCol w:w="2583"/>
        <w:gridCol w:w="2583"/>
        <w:gridCol w:w="2584"/>
        <w:gridCol w:w="2584"/>
        <w:gridCol w:w="2585"/>
      </w:tblGrid>
      <w:tr w:rsidR="008B7BAE" w:rsidRPr="008B7BAE" w14:paraId="296E34FA" w14:textId="77777777" w:rsidTr="00BF63B9"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2B49F" w14:textId="77777777" w:rsidR="008B7BAE" w:rsidRPr="008B7BAE" w:rsidRDefault="008B7BAE" w:rsidP="008B7BAE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B7B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42FE278" wp14:editId="3C0FC8D8">
                  <wp:extent cx="777240" cy="552450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 Shot 2017-10-26 at 9.08.51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52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  <w:tcBorders>
              <w:left w:val="single" w:sz="4" w:space="0" w:color="auto"/>
            </w:tcBorders>
            <w:shd w:val="clear" w:color="auto" w:fill="B5D0EB"/>
            <w:vAlign w:val="bottom"/>
          </w:tcPr>
          <w:p w14:paraId="0A97EFE3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School Turnaround Practice</w:t>
            </w:r>
          </w:p>
        </w:tc>
        <w:tc>
          <w:tcPr>
            <w:tcW w:w="2583" w:type="dxa"/>
            <w:shd w:val="clear" w:color="auto" w:fill="B5D0EB"/>
            <w:vAlign w:val="bottom"/>
          </w:tcPr>
          <w:p w14:paraId="01DA8CD1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High-Quality Mentoring and Induction Practices</w:t>
            </w:r>
          </w:p>
        </w:tc>
        <w:tc>
          <w:tcPr>
            <w:tcW w:w="2584" w:type="dxa"/>
            <w:shd w:val="clear" w:color="auto" w:fill="B5D0EB"/>
            <w:vAlign w:val="bottom"/>
          </w:tcPr>
          <w:p w14:paraId="3858EDFE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State-Level</w:t>
            </w: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br/>
              <w:t>Reflection Questions</w:t>
            </w:r>
          </w:p>
        </w:tc>
        <w:tc>
          <w:tcPr>
            <w:tcW w:w="2584" w:type="dxa"/>
            <w:shd w:val="clear" w:color="auto" w:fill="B5D0EB"/>
            <w:vAlign w:val="bottom"/>
          </w:tcPr>
          <w:p w14:paraId="46AEE85E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District-Level Reflection Questions</w:t>
            </w:r>
          </w:p>
        </w:tc>
        <w:tc>
          <w:tcPr>
            <w:tcW w:w="2585" w:type="dxa"/>
            <w:shd w:val="clear" w:color="auto" w:fill="B5D0EB"/>
            <w:vAlign w:val="bottom"/>
          </w:tcPr>
          <w:p w14:paraId="3F152661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School-Level</w:t>
            </w: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br/>
              <w:t>Reflection Questions</w:t>
            </w:r>
          </w:p>
        </w:tc>
      </w:tr>
      <w:tr w:rsidR="00501B7D" w:rsidRPr="008B7BAE" w14:paraId="60F72413" w14:textId="77777777" w:rsidTr="00BF63B9">
        <w:trPr>
          <w:trHeight w:val="7928"/>
        </w:trPr>
        <w:tc>
          <w:tcPr>
            <w:tcW w:w="14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31737" w14:textId="77777777" w:rsidR="00501B7D" w:rsidRPr="008B7BAE" w:rsidRDefault="00501B7D" w:rsidP="00501B7D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360B78FD" w14:textId="77777777" w:rsidR="00501B7D" w:rsidRPr="00501B7D" w:rsidRDefault="00501B7D" w:rsidP="00501B7D">
            <w:pPr>
              <w:pStyle w:val="TableSubheading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 xml:space="preserve">Practice 2C: Set clear performance expectations </w:t>
            </w:r>
          </w:p>
          <w:p w14:paraId="712D44F8" w14:textId="77777777" w:rsidR="00501B7D" w:rsidRPr="00501B7D" w:rsidRDefault="00501B7D" w:rsidP="00501B7D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What it looks like:</w:t>
            </w:r>
          </w:p>
          <w:p w14:paraId="06C6731D" w14:textId="77777777" w:rsidR="00501B7D" w:rsidRPr="00501B7D" w:rsidRDefault="00501B7D" w:rsidP="00501B7D">
            <w:pPr>
              <w:pStyle w:val="TableBullet2"/>
              <w:numPr>
                <w:ilvl w:val="0"/>
                <w:numId w:val="14"/>
              </w:numPr>
              <w:ind w:left="252" w:hanging="243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 xml:space="preserve">Create and share expectations for a level of professional performance by every role in the system. </w:t>
            </w:r>
          </w:p>
          <w:p w14:paraId="48C7ABA8" w14:textId="063AC334" w:rsidR="00501B7D" w:rsidRPr="00501B7D" w:rsidRDefault="00501B7D" w:rsidP="00501B7D">
            <w:pPr>
              <w:pStyle w:val="TableBullet2"/>
              <w:numPr>
                <w:ilvl w:val="0"/>
                <w:numId w:val="14"/>
              </w:numPr>
              <w:ind w:left="252" w:hanging="243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Develop and implement performance-management processes that include clear means for monitoring progress with flexibility to rapidly respond to professional learning needs, and opportunities to revise milestones as needed.</w:t>
            </w:r>
          </w:p>
        </w:tc>
        <w:tc>
          <w:tcPr>
            <w:tcW w:w="2583" w:type="dxa"/>
          </w:tcPr>
          <w:p w14:paraId="1BD66A01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Ongoing professional development and support for mentors</w:t>
            </w:r>
          </w:p>
          <w:p w14:paraId="2275E2E1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Professional teaching standards and data-driven conversations</w:t>
            </w:r>
          </w:p>
          <w:p w14:paraId="64932F7D" w14:textId="1F8D99F9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Ongoing beginning teacher professional development</w:t>
            </w:r>
          </w:p>
        </w:tc>
        <w:tc>
          <w:tcPr>
            <w:tcW w:w="2584" w:type="dxa"/>
          </w:tcPr>
          <w:p w14:paraId="5D9B3038" w14:textId="7F3212BF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 xml:space="preserve">What research will guide the state work to develop examples of job descriptions and definitions of key LEA- and school-level </w:t>
            </w:r>
            <w:r w:rsidR="00477A0C">
              <w:rPr>
                <w:rFonts w:ascii="Times New Roman" w:hAnsi="Times New Roman"/>
                <w:sz w:val="22"/>
                <w:szCs w:val="22"/>
              </w:rPr>
              <w:t>M&amp;I</w:t>
            </w:r>
            <w:r w:rsidRPr="00501B7D">
              <w:rPr>
                <w:rFonts w:ascii="Times New Roman" w:hAnsi="Times New Roman"/>
                <w:sz w:val="22"/>
                <w:szCs w:val="22"/>
              </w:rPr>
              <w:t xml:space="preserve"> roles to share with LEA and school M&amp;I leads?</w:t>
            </w:r>
          </w:p>
          <w:p w14:paraId="3F1E2F9E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How will the state collaborate with LEAs to revise these examples of job descriptions and role definitions?</w:t>
            </w:r>
          </w:p>
          <w:p w14:paraId="3BE4ABD1" w14:textId="04159A1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How will the state disseminate these descriptions and definitions (communications, conferences, trainings, etc.)?</w:t>
            </w:r>
          </w:p>
        </w:tc>
        <w:tc>
          <w:tcPr>
            <w:tcW w:w="2584" w:type="dxa"/>
          </w:tcPr>
          <w:p w14:paraId="27AF4D91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How will the district human resources (HR) staff articulate the district and school positions associated with its M&amp;I program? How will these position descriptions be specifically linked to district and school turnaround goals?</w:t>
            </w:r>
          </w:p>
          <w:p w14:paraId="731C9882" w14:textId="0B3F7132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How will district leadership, including HR and professional development staff, coordinate with school leaders to structure time for teacher collaboration and professional learning?</w:t>
            </w:r>
          </w:p>
        </w:tc>
        <w:tc>
          <w:tcPr>
            <w:tcW w:w="2585" w:type="dxa"/>
          </w:tcPr>
          <w:p w14:paraId="7A45D0B4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By what process will school leadership and the M&amp;I team develop and share codified roles and expectations for coaches and mentors?</w:t>
            </w:r>
          </w:p>
          <w:p w14:paraId="2984A693" w14:textId="63648399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How will school leadership and the M&amp;I team develop structures to enable teacher collaboration, professional learning, and review of student data (as appropriate)?</w:t>
            </w:r>
          </w:p>
        </w:tc>
      </w:tr>
    </w:tbl>
    <w:p w14:paraId="2D03AA4B" w14:textId="5F834858" w:rsidR="008B7BAE" w:rsidRDefault="008B7BAE" w:rsidP="008B7BAE"/>
    <w:p w14:paraId="4A7B2E49" w14:textId="77777777" w:rsidR="008B7BAE" w:rsidRDefault="008B7BAE">
      <w:r>
        <w:br w:type="page"/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1476"/>
        <w:gridCol w:w="2583"/>
        <w:gridCol w:w="2583"/>
        <w:gridCol w:w="2584"/>
        <w:gridCol w:w="2584"/>
        <w:gridCol w:w="2585"/>
      </w:tblGrid>
      <w:tr w:rsidR="008B7BAE" w:rsidRPr="008B7BAE" w14:paraId="066975DF" w14:textId="77777777" w:rsidTr="00BF63B9"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EEAD4" w14:textId="77777777" w:rsidR="008B7BAE" w:rsidRPr="008B7BAE" w:rsidRDefault="008B7BAE" w:rsidP="008B7BAE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B7B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F63B585" wp14:editId="4F377D2B">
                  <wp:extent cx="777240" cy="6060440"/>
                  <wp:effectExtent l="0" t="0" r="10160" b="1016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reen Shot 2017-10-26 at 9.19.28 P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606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  <w:tcBorders>
              <w:left w:val="single" w:sz="4" w:space="0" w:color="auto"/>
            </w:tcBorders>
            <w:shd w:val="clear" w:color="auto" w:fill="B5D0EB"/>
            <w:vAlign w:val="bottom"/>
          </w:tcPr>
          <w:p w14:paraId="70D3C2B8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8B7BAE">
              <w:rPr>
                <w:rFonts w:ascii="Times New Roman" w:eastAsia="Times New Roman" w:hAnsi="Times New Roman" w:cs="Times New Roman"/>
                <w:b/>
              </w:rPr>
              <w:t>School Turnaround Practice</w:t>
            </w:r>
          </w:p>
        </w:tc>
        <w:tc>
          <w:tcPr>
            <w:tcW w:w="2583" w:type="dxa"/>
            <w:shd w:val="clear" w:color="auto" w:fill="B5D0EB"/>
            <w:vAlign w:val="bottom"/>
          </w:tcPr>
          <w:p w14:paraId="06E208C7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8B7BAE">
              <w:rPr>
                <w:rFonts w:ascii="Times New Roman" w:eastAsia="Times New Roman" w:hAnsi="Times New Roman" w:cs="Times New Roman"/>
                <w:b/>
              </w:rPr>
              <w:t>High-Quality Mentoring and Induction Practices</w:t>
            </w:r>
          </w:p>
        </w:tc>
        <w:tc>
          <w:tcPr>
            <w:tcW w:w="2584" w:type="dxa"/>
            <w:shd w:val="clear" w:color="auto" w:fill="B5D0EB"/>
            <w:vAlign w:val="bottom"/>
          </w:tcPr>
          <w:p w14:paraId="28777E8E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8B7BAE">
              <w:rPr>
                <w:rFonts w:ascii="Times New Roman" w:eastAsia="Times New Roman" w:hAnsi="Times New Roman" w:cs="Times New Roman"/>
                <w:b/>
              </w:rPr>
              <w:t xml:space="preserve">State-Level </w:t>
            </w:r>
            <w:r w:rsidRPr="008B7BAE">
              <w:rPr>
                <w:rFonts w:ascii="Times New Roman" w:eastAsia="Times New Roman" w:hAnsi="Times New Roman" w:cs="Times New Roman"/>
                <w:b/>
              </w:rPr>
              <w:br/>
              <w:t>Reflection Questions</w:t>
            </w:r>
          </w:p>
        </w:tc>
        <w:tc>
          <w:tcPr>
            <w:tcW w:w="2584" w:type="dxa"/>
            <w:shd w:val="clear" w:color="auto" w:fill="B5D0EB"/>
            <w:vAlign w:val="bottom"/>
          </w:tcPr>
          <w:p w14:paraId="0B3ED346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8B7BAE">
              <w:rPr>
                <w:rFonts w:ascii="Times New Roman" w:eastAsia="Times New Roman" w:hAnsi="Times New Roman" w:cs="Times New Roman"/>
                <w:b/>
              </w:rPr>
              <w:t>District-Level Reflection Questions</w:t>
            </w:r>
          </w:p>
        </w:tc>
        <w:tc>
          <w:tcPr>
            <w:tcW w:w="2585" w:type="dxa"/>
            <w:shd w:val="clear" w:color="auto" w:fill="B5D0EB"/>
            <w:vAlign w:val="bottom"/>
          </w:tcPr>
          <w:p w14:paraId="043BD510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8B7BAE">
              <w:rPr>
                <w:rFonts w:ascii="Times New Roman" w:eastAsia="Times New Roman" w:hAnsi="Times New Roman" w:cs="Times New Roman"/>
                <w:b/>
              </w:rPr>
              <w:t>School-Level</w:t>
            </w:r>
            <w:r w:rsidRPr="008B7BAE">
              <w:rPr>
                <w:rFonts w:ascii="Times New Roman" w:eastAsia="Times New Roman" w:hAnsi="Times New Roman" w:cs="Times New Roman"/>
                <w:b/>
              </w:rPr>
              <w:br/>
              <w:t>Reflection Questions</w:t>
            </w:r>
          </w:p>
        </w:tc>
      </w:tr>
      <w:tr w:rsidR="00501B7D" w:rsidRPr="008B7BAE" w14:paraId="7C2E82FA" w14:textId="77777777" w:rsidTr="00BF63B9">
        <w:trPr>
          <w:trHeight w:val="7928"/>
        </w:trPr>
        <w:tc>
          <w:tcPr>
            <w:tcW w:w="14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BA230" w14:textId="77777777" w:rsidR="00501B7D" w:rsidRPr="008B7BAE" w:rsidRDefault="00501B7D" w:rsidP="00501B7D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0B2D57D8" w14:textId="77777777" w:rsidR="00501B7D" w:rsidRPr="00501B7D" w:rsidRDefault="00501B7D" w:rsidP="00501B7D">
            <w:pPr>
              <w:pStyle w:val="TableSubheading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Practice 3A: Diagnose and respond to student needs</w:t>
            </w:r>
          </w:p>
          <w:p w14:paraId="658FA5F9" w14:textId="77777777" w:rsidR="00501B7D" w:rsidRPr="00501B7D" w:rsidRDefault="00501B7D" w:rsidP="00501B7D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What it looks like:</w:t>
            </w:r>
          </w:p>
          <w:p w14:paraId="310F912B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Diagnose student learning needs and use identified needs to drive all instructional decisions.</w:t>
            </w:r>
          </w:p>
          <w:p w14:paraId="7B8B2F08" w14:textId="3D40EE1F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Incorporate effective student supports and instructional interventions.</w:t>
            </w:r>
          </w:p>
        </w:tc>
        <w:tc>
          <w:tcPr>
            <w:tcW w:w="2583" w:type="dxa"/>
          </w:tcPr>
          <w:p w14:paraId="1E1E9912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Intensive and specific guidance moving teaching practice forward</w:t>
            </w:r>
          </w:p>
          <w:p w14:paraId="5E282D85" w14:textId="16E2F972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Professional teaching standards and data-driven conversations</w:t>
            </w:r>
          </w:p>
        </w:tc>
        <w:tc>
          <w:tcPr>
            <w:tcW w:w="2584" w:type="dxa"/>
          </w:tcPr>
          <w:p w14:paraId="46673503" w14:textId="5EE0BECA" w:rsidR="00501B7D" w:rsidRPr="008B7BAE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What will be the content and structure of the state training for LEAs and schools seeking evidence-based practices aligned to state standards?</w:t>
            </w:r>
          </w:p>
        </w:tc>
        <w:tc>
          <w:tcPr>
            <w:tcW w:w="2584" w:type="dxa"/>
          </w:tcPr>
          <w:p w14:paraId="13022EC8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 xml:space="preserve">What data-monitoring system will the district develop to support high-level instructional practice at the school level?  </w:t>
            </w:r>
          </w:p>
          <w:p w14:paraId="2048A548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How will the district work to share this system and expectations for its use at the school level?</w:t>
            </w:r>
          </w:p>
          <w:p w14:paraId="660F271D" w14:textId="1DF98856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How will district leadership ensure the timely reporting of district assessment data for use by schools in informing data-driven instruction?</w:t>
            </w:r>
          </w:p>
        </w:tc>
        <w:tc>
          <w:tcPr>
            <w:tcW w:w="2585" w:type="dxa"/>
          </w:tcPr>
          <w:p w14:paraId="0F1DA96B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How will mentors and coaches introduce and develop awareness of high-level instructional practices, including data-driven instruction, within the M&amp;I program?</w:t>
            </w:r>
          </w:p>
          <w:p w14:paraId="6C651048" w14:textId="7FF91488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How will the school M&amp;I program utilize differentiation and reinforcement to align training with new and struggling teacher needs?</w:t>
            </w:r>
          </w:p>
        </w:tc>
      </w:tr>
    </w:tbl>
    <w:p w14:paraId="39467856" w14:textId="21B008F1" w:rsidR="008B7BAE" w:rsidRDefault="008B7BAE" w:rsidP="008B7BAE"/>
    <w:p w14:paraId="7953C550" w14:textId="77777777" w:rsidR="008B7BAE" w:rsidRDefault="008B7BAE">
      <w:r>
        <w:br w:type="page"/>
      </w: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1476"/>
        <w:gridCol w:w="2583"/>
        <w:gridCol w:w="2583"/>
        <w:gridCol w:w="2584"/>
        <w:gridCol w:w="2584"/>
        <w:gridCol w:w="2585"/>
      </w:tblGrid>
      <w:tr w:rsidR="008B7BAE" w:rsidRPr="008B7BAE" w14:paraId="00B996FF" w14:textId="77777777" w:rsidTr="00BF63B9"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7CB7B" w14:textId="77777777" w:rsidR="008B7BAE" w:rsidRPr="008B7BAE" w:rsidRDefault="008B7BAE" w:rsidP="008B7BAE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B7B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943D6C4" wp14:editId="3A9312D7">
                  <wp:extent cx="777240" cy="6060440"/>
                  <wp:effectExtent l="0" t="0" r="10160" b="1016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reen Shot 2017-10-26 at 9.19.28 P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606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  <w:tcBorders>
              <w:left w:val="single" w:sz="4" w:space="0" w:color="auto"/>
            </w:tcBorders>
            <w:shd w:val="clear" w:color="auto" w:fill="B5D0EB"/>
            <w:vAlign w:val="bottom"/>
          </w:tcPr>
          <w:p w14:paraId="6F56124F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School Turnaround Practice</w:t>
            </w:r>
          </w:p>
        </w:tc>
        <w:tc>
          <w:tcPr>
            <w:tcW w:w="2583" w:type="dxa"/>
            <w:shd w:val="clear" w:color="auto" w:fill="B5D0EB"/>
            <w:vAlign w:val="bottom"/>
          </w:tcPr>
          <w:p w14:paraId="54095EBA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High-Quality Mentoring and Induction Practices</w:t>
            </w:r>
          </w:p>
        </w:tc>
        <w:tc>
          <w:tcPr>
            <w:tcW w:w="2584" w:type="dxa"/>
            <w:shd w:val="clear" w:color="auto" w:fill="B5D0EB"/>
            <w:vAlign w:val="bottom"/>
          </w:tcPr>
          <w:p w14:paraId="0683F37E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 xml:space="preserve">State-Level </w:t>
            </w: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br/>
              <w:t>Reflection Questions</w:t>
            </w:r>
          </w:p>
        </w:tc>
        <w:tc>
          <w:tcPr>
            <w:tcW w:w="2584" w:type="dxa"/>
            <w:shd w:val="clear" w:color="auto" w:fill="B5D0EB"/>
            <w:vAlign w:val="bottom"/>
          </w:tcPr>
          <w:p w14:paraId="0F20EE29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District-Level Reflection Questions</w:t>
            </w:r>
          </w:p>
        </w:tc>
        <w:tc>
          <w:tcPr>
            <w:tcW w:w="2585" w:type="dxa"/>
            <w:shd w:val="clear" w:color="auto" w:fill="B5D0EB"/>
            <w:vAlign w:val="bottom"/>
          </w:tcPr>
          <w:p w14:paraId="7D5D5602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 xml:space="preserve">School-Level </w:t>
            </w: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br/>
              <w:t>Reflection Questions</w:t>
            </w:r>
          </w:p>
        </w:tc>
      </w:tr>
      <w:tr w:rsidR="00501B7D" w:rsidRPr="008B7BAE" w14:paraId="34E967E7" w14:textId="77777777" w:rsidTr="00BF63B9">
        <w:trPr>
          <w:trHeight w:val="7928"/>
        </w:trPr>
        <w:tc>
          <w:tcPr>
            <w:tcW w:w="14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2694F" w14:textId="77777777" w:rsidR="00501B7D" w:rsidRPr="008B7BAE" w:rsidRDefault="00501B7D" w:rsidP="00501B7D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69A03AD1" w14:textId="77777777" w:rsidR="00501B7D" w:rsidRPr="00501B7D" w:rsidRDefault="00501B7D" w:rsidP="00501B7D">
            <w:pPr>
              <w:pStyle w:val="TableSubheading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Practice 3B: Provide rigorous, evidence-based instruction</w:t>
            </w:r>
          </w:p>
          <w:p w14:paraId="42FD5DC2" w14:textId="77777777" w:rsidR="00501B7D" w:rsidRPr="00501B7D" w:rsidRDefault="00501B7D" w:rsidP="00501B7D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What it looks like:</w:t>
            </w:r>
          </w:p>
          <w:p w14:paraId="0D02C2A8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Set high academic standards and ensure access to rigorous standards-based curricula.</w:t>
            </w:r>
          </w:p>
          <w:p w14:paraId="0CB23FC5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Provide supports to ensure evidence is used in instructional planning and facilita</w:t>
            </w:r>
            <w:r w:rsidRPr="00501B7D">
              <w:rPr>
                <w:rFonts w:ascii="Times New Roman" w:hAnsi="Times New Roman"/>
                <w:sz w:val="22"/>
                <w:szCs w:val="22"/>
              </w:rPr>
              <w:softHyphen/>
              <w:t>tion of student learning.</w:t>
            </w:r>
          </w:p>
          <w:p w14:paraId="386E1195" w14:textId="2D452722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As gaps are identified in the curriculum or instructional delivery, develop plans to strengthen these key components.</w:t>
            </w:r>
          </w:p>
        </w:tc>
        <w:tc>
          <w:tcPr>
            <w:tcW w:w="2583" w:type="dxa"/>
          </w:tcPr>
          <w:p w14:paraId="11D2D7EE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Intensive and specific guidance moving teaching practice forward</w:t>
            </w:r>
          </w:p>
          <w:p w14:paraId="6EA2B925" w14:textId="60B2896B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Professional teaching standards and data-driven conversations</w:t>
            </w:r>
          </w:p>
        </w:tc>
        <w:tc>
          <w:tcPr>
            <w:tcW w:w="2584" w:type="dxa"/>
          </w:tcPr>
          <w:p w14:paraId="73A5AB5C" w14:textId="0ECCC2CE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H</w:t>
            </w:r>
            <w:r w:rsidRPr="00501B7D">
              <w:rPr>
                <w:rFonts w:ascii="Times New Roman" w:eastAsia="Batang" w:hAnsi="Times New Roman"/>
                <w:sz w:val="22"/>
                <w:szCs w:val="22"/>
              </w:rPr>
              <w:t xml:space="preserve">ow will the state </w:t>
            </w:r>
            <w:proofErr w:type="gramStart"/>
            <w:r w:rsidRPr="00501B7D">
              <w:rPr>
                <w:rFonts w:ascii="Times New Roman" w:eastAsia="Batang" w:hAnsi="Times New Roman"/>
                <w:sz w:val="22"/>
                <w:szCs w:val="22"/>
              </w:rPr>
              <w:t>leads</w:t>
            </w:r>
            <w:proofErr w:type="gramEnd"/>
            <w:r w:rsidRPr="00501B7D">
              <w:rPr>
                <w:rFonts w:ascii="Times New Roman" w:eastAsia="Batang" w:hAnsi="Times New Roman"/>
                <w:sz w:val="22"/>
                <w:szCs w:val="22"/>
              </w:rPr>
              <w:t xml:space="preserve"> for training in content knowledge aligned to evidence-based practices and state standards work with state talent development leads to ensure that state guidance and trainings on </w:t>
            </w:r>
            <w:r w:rsidR="00477A0C">
              <w:rPr>
                <w:rFonts w:ascii="Times New Roman" w:eastAsia="Batang" w:hAnsi="Times New Roman"/>
                <w:sz w:val="22"/>
                <w:szCs w:val="22"/>
              </w:rPr>
              <w:t>M&amp;I</w:t>
            </w:r>
            <w:r w:rsidRPr="00501B7D">
              <w:rPr>
                <w:rFonts w:ascii="Times New Roman" w:eastAsia="Batang" w:hAnsi="Times New Roman"/>
                <w:sz w:val="22"/>
                <w:szCs w:val="22"/>
              </w:rPr>
              <w:t xml:space="preserve"> include awareness of evidence-based practices and alignment to state standards?</w:t>
            </w:r>
          </w:p>
        </w:tc>
        <w:tc>
          <w:tcPr>
            <w:tcW w:w="2584" w:type="dxa"/>
          </w:tcPr>
          <w:p w14:paraId="33A52E11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How will the district ensure fidelity across all schools to evidence-based instructional practices as part of M&amp;I programs?</w:t>
            </w:r>
          </w:p>
          <w:p w14:paraId="2033066D" w14:textId="62E51F29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How will district leaders develop a uniform understanding and application of rigor in instructional practice, including in school M&amp;I programs?</w:t>
            </w:r>
          </w:p>
        </w:tc>
        <w:tc>
          <w:tcPr>
            <w:tcW w:w="2585" w:type="dxa"/>
          </w:tcPr>
          <w:p w14:paraId="20F31482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How will the M&amp;I team work with instructional leaders to assess new and struggling teacher needs for support using evidence-based instructional practices?</w:t>
            </w:r>
          </w:p>
          <w:p w14:paraId="316CC5B4" w14:textId="28667673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 xml:space="preserve">How will the M&amp;I team work with instructional leaders to determine the school menu of credible, evidence-based instructional practices and their use in instruction aligned to state academic standards? </w:t>
            </w:r>
          </w:p>
        </w:tc>
      </w:tr>
    </w:tbl>
    <w:p w14:paraId="398796C6" w14:textId="1242B5D3" w:rsidR="008B7BAE" w:rsidRDefault="008B7BAE" w:rsidP="008B7BAE"/>
    <w:p w14:paraId="244629FC" w14:textId="77777777" w:rsidR="008B7BAE" w:rsidRDefault="008B7BAE">
      <w:r>
        <w:br w:type="page"/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1476"/>
        <w:gridCol w:w="2583"/>
        <w:gridCol w:w="2583"/>
        <w:gridCol w:w="2584"/>
        <w:gridCol w:w="2584"/>
        <w:gridCol w:w="2585"/>
      </w:tblGrid>
      <w:tr w:rsidR="008B7BAE" w:rsidRPr="008B7BAE" w14:paraId="6D53387A" w14:textId="77777777" w:rsidTr="00BF63B9"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00FE" w14:textId="77777777" w:rsidR="008B7BAE" w:rsidRPr="008B7BAE" w:rsidRDefault="008B7BAE" w:rsidP="008B7BAE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B7B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DECACCC" wp14:editId="6BADDDC1">
                  <wp:extent cx="777240" cy="6060440"/>
                  <wp:effectExtent l="0" t="0" r="10160" b="1016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creen Shot 2017-10-26 at 9.27.36 PM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606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  <w:tcBorders>
              <w:left w:val="single" w:sz="4" w:space="0" w:color="auto"/>
            </w:tcBorders>
            <w:shd w:val="clear" w:color="auto" w:fill="B5D0EB"/>
            <w:vAlign w:val="bottom"/>
          </w:tcPr>
          <w:p w14:paraId="43B3D62E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School Turnaround Practice</w:t>
            </w:r>
          </w:p>
        </w:tc>
        <w:tc>
          <w:tcPr>
            <w:tcW w:w="2583" w:type="dxa"/>
            <w:shd w:val="clear" w:color="auto" w:fill="B5D0EB"/>
            <w:vAlign w:val="bottom"/>
          </w:tcPr>
          <w:p w14:paraId="652C8E9B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 xml:space="preserve">High-Quality </w:t>
            </w:r>
            <w:bookmarkStart w:id="0" w:name="_GoBack"/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Mentoring</w:t>
            </w:r>
            <w:bookmarkEnd w:id="0"/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 xml:space="preserve"> and Induction Practices</w:t>
            </w:r>
          </w:p>
        </w:tc>
        <w:tc>
          <w:tcPr>
            <w:tcW w:w="2584" w:type="dxa"/>
            <w:shd w:val="clear" w:color="auto" w:fill="B5D0EB"/>
            <w:vAlign w:val="bottom"/>
          </w:tcPr>
          <w:p w14:paraId="7967BFB9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 xml:space="preserve">State-Level </w:t>
            </w: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br/>
              <w:t>Reflection Questions</w:t>
            </w:r>
          </w:p>
        </w:tc>
        <w:tc>
          <w:tcPr>
            <w:tcW w:w="2584" w:type="dxa"/>
            <w:shd w:val="clear" w:color="auto" w:fill="B5D0EB"/>
            <w:vAlign w:val="bottom"/>
          </w:tcPr>
          <w:p w14:paraId="1C33203C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>District-Level Reflection Questions</w:t>
            </w:r>
          </w:p>
        </w:tc>
        <w:tc>
          <w:tcPr>
            <w:tcW w:w="2585" w:type="dxa"/>
            <w:shd w:val="clear" w:color="auto" w:fill="B5D0EB"/>
            <w:vAlign w:val="bottom"/>
          </w:tcPr>
          <w:p w14:paraId="7068535E" w14:textId="77777777" w:rsidR="008B7BAE" w:rsidRPr="008B7BAE" w:rsidRDefault="008B7BAE" w:rsidP="008B7BAE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t xml:space="preserve">School-Level </w:t>
            </w:r>
            <w:r w:rsidRPr="008B7BAE">
              <w:rPr>
                <w:rFonts w:ascii="Times New Roman" w:eastAsia="Times New Roman" w:hAnsi="Times New Roman" w:cs="Times New Roman"/>
                <w:b/>
                <w:bCs/>
              </w:rPr>
              <w:br/>
              <w:t>Reflection Questions</w:t>
            </w:r>
          </w:p>
        </w:tc>
      </w:tr>
      <w:tr w:rsidR="00501B7D" w:rsidRPr="008B7BAE" w14:paraId="6C3AFC44" w14:textId="77777777" w:rsidTr="00BF63B9">
        <w:trPr>
          <w:trHeight w:val="7928"/>
        </w:trPr>
        <w:tc>
          <w:tcPr>
            <w:tcW w:w="14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A9FED" w14:textId="77777777" w:rsidR="00501B7D" w:rsidRPr="008B7BAE" w:rsidRDefault="00501B7D" w:rsidP="00501B7D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3A179FCE" w14:textId="77777777" w:rsidR="00501B7D" w:rsidRPr="00501B7D" w:rsidRDefault="00501B7D" w:rsidP="00501B7D">
            <w:pPr>
              <w:pStyle w:val="TableSubheading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 xml:space="preserve">Practice 4B: </w:t>
            </w:r>
            <w:bookmarkStart w:id="1" w:name="_Hlk505770920"/>
            <w:r w:rsidRPr="00501B7D">
              <w:rPr>
                <w:rFonts w:ascii="Times New Roman" w:hAnsi="Times New Roman"/>
                <w:sz w:val="22"/>
                <w:szCs w:val="22"/>
              </w:rPr>
              <w:t>Solicit and act upon stakeholder input</w:t>
            </w:r>
          </w:p>
          <w:bookmarkEnd w:id="1"/>
          <w:p w14:paraId="375A6798" w14:textId="77777777" w:rsidR="00501B7D" w:rsidRPr="00501B7D" w:rsidRDefault="00501B7D" w:rsidP="00501B7D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What it looks like:</w:t>
            </w:r>
          </w:p>
          <w:p w14:paraId="33702629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Stakeholder perceptions are considered when identifying priorities and improving the underlying conditions that contribute to school climate issues.</w:t>
            </w:r>
          </w:p>
          <w:p w14:paraId="703CDB58" w14:textId="7074D473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Acknowledge and respond to constructive feedback, suggestions, and criticism.</w:t>
            </w:r>
          </w:p>
        </w:tc>
        <w:tc>
          <w:tcPr>
            <w:tcW w:w="2583" w:type="dxa"/>
          </w:tcPr>
          <w:p w14:paraId="69B7B92D" w14:textId="17DC939D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Collaboration with all stakeholders</w:t>
            </w:r>
          </w:p>
        </w:tc>
        <w:tc>
          <w:tcPr>
            <w:tcW w:w="2584" w:type="dxa"/>
          </w:tcPr>
          <w:p w14:paraId="5B4D82BF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How will the state develop and/or identify climate surveys and protocol to share with districts for use in reviewing turnaround strategies and programs, including M&amp;I?</w:t>
            </w:r>
          </w:p>
          <w:p w14:paraId="1467D2D1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What will be the agenda and structure of state training and other professional learning opportunities to support the LEA use of climate surveys?</w:t>
            </w:r>
          </w:p>
          <w:p w14:paraId="7BCFB120" w14:textId="6E0F5BFD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How will this training be administered (on-site, centralized on-ground training, webinar, or other tech-based training delivery)?</w:t>
            </w:r>
          </w:p>
        </w:tc>
        <w:tc>
          <w:tcPr>
            <w:tcW w:w="2584" w:type="dxa"/>
          </w:tcPr>
          <w:p w14:paraId="20487AC0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What support and guidance will district leadership provide to schools for developing strategies, including stakeholder surveys, to review and refine M&amp;I programs?</w:t>
            </w:r>
          </w:p>
          <w:p w14:paraId="2F702F98" w14:textId="1799EA8D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How will district leaders gather and utilize stakeholder data to review and refine the district approach to M&amp;I as a strategy supporting school turnaround?</w:t>
            </w:r>
          </w:p>
        </w:tc>
        <w:tc>
          <w:tcPr>
            <w:tcW w:w="2585" w:type="dxa"/>
          </w:tcPr>
          <w:p w14:paraId="63BDE555" w14:textId="77777777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hAnsi="Times New Roman"/>
                <w:sz w:val="22"/>
                <w:szCs w:val="22"/>
              </w:rPr>
              <w:t>What survey instrument will the M&amp;I team develop to review the M&amp;I program? What academic and stakeholder data will be collected?</w:t>
            </w:r>
          </w:p>
          <w:p w14:paraId="62302652" w14:textId="7962F0D4" w:rsidR="00501B7D" w:rsidRPr="00501B7D" w:rsidRDefault="00501B7D" w:rsidP="00501B7D">
            <w:pPr>
              <w:pStyle w:val="TableBullet1"/>
              <w:rPr>
                <w:rFonts w:ascii="Times New Roman" w:hAnsi="Times New Roman"/>
                <w:sz w:val="22"/>
                <w:szCs w:val="22"/>
              </w:rPr>
            </w:pPr>
            <w:r w:rsidRPr="00501B7D">
              <w:rPr>
                <w:rFonts w:ascii="Times New Roman" w:eastAsia="Batang" w:hAnsi="Times New Roman"/>
                <w:sz w:val="22"/>
                <w:szCs w:val="22"/>
              </w:rPr>
              <w:t>How will school leadership support the M&amp;I team in implementing a cycle of continuous improvement to review and refine the M&amp;I program based on data collected?</w:t>
            </w:r>
          </w:p>
        </w:tc>
      </w:tr>
    </w:tbl>
    <w:p w14:paraId="2BE1D8B1" w14:textId="0713D283" w:rsidR="00F46921" w:rsidRDefault="00F46921" w:rsidP="008B7BAE"/>
    <w:sectPr w:rsidR="00F46921" w:rsidSect="007C3E12"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1DA7B" w14:textId="77777777" w:rsidR="00DE6880" w:rsidRDefault="00DE6880" w:rsidP="00734E65">
      <w:pPr>
        <w:spacing w:after="0" w:line="240" w:lineRule="auto"/>
      </w:pPr>
      <w:r>
        <w:separator/>
      </w:r>
    </w:p>
  </w:endnote>
  <w:endnote w:type="continuationSeparator" w:id="0">
    <w:p w14:paraId="6A174E22" w14:textId="77777777" w:rsidR="00DE6880" w:rsidRDefault="00DE6880" w:rsidP="0073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 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79006" w14:textId="77777777" w:rsidR="00C31AE7" w:rsidRDefault="00C31AE7" w:rsidP="007446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80D6A" w14:textId="77777777" w:rsidR="00C31AE7" w:rsidRDefault="00C31AE7" w:rsidP="00734E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231C9" w14:textId="5A310B20" w:rsidR="00C31AE7" w:rsidRPr="007C3E12" w:rsidRDefault="007C3E12" w:rsidP="00E30013">
    <w:pPr>
      <w:pStyle w:val="Footer"/>
      <w:ind w:right="360"/>
      <w:jc w:val="right"/>
      <w:rPr>
        <w:rFonts w:ascii="Times New Roman" w:hAnsi="Times New Roman" w:cs="Times New Roman"/>
        <w:sz w:val="20"/>
        <w:szCs w:val="20"/>
      </w:rPr>
    </w:pPr>
    <w:r w:rsidRPr="007C3E12">
      <w:rPr>
        <w:rFonts w:ascii="Times New Roman" w:hAnsi="Times New Roman" w:cs="Times New Roman"/>
        <w:sz w:val="20"/>
        <w:szCs w:val="20"/>
      </w:rPr>
      <w:t>Talent for Turnaround</w:t>
    </w:r>
    <w:r w:rsidRPr="007C3E12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7C3E12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Mentoring and Induction in Tu</w:t>
    </w:r>
    <w:r w:rsidR="008B7BAE">
      <w:rPr>
        <w:rFonts w:ascii="Times New Roman" w:hAnsi="Times New Roman" w:cs="Times New Roman"/>
        <w:sz w:val="20"/>
        <w:szCs w:val="20"/>
      </w:rPr>
      <w:t>rnaround Schools Crosswalk and Reflection</w:t>
    </w:r>
    <w:r>
      <w:rPr>
        <w:rFonts w:ascii="Times New Roman" w:hAnsi="Times New Roman" w:cs="Times New Roman"/>
        <w:sz w:val="20"/>
        <w:szCs w:val="20"/>
      </w:rPr>
      <w:t>—</w:t>
    </w:r>
    <w:r w:rsidRPr="007C3E12">
      <w:rPr>
        <w:rFonts w:ascii="Times New Roman" w:hAnsi="Times New Roman" w:cs="Times New Roman"/>
        <w:sz w:val="20"/>
        <w:szCs w:val="20"/>
      </w:rPr>
      <w:fldChar w:fldCharType="begin"/>
    </w:r>
    <w:r w:rsidRPr="007C3E12">
      <w:rPr>
        <w:rFonts w:ascii="Times New Roman" w:hAnsi="Times New Roman" w:cs="Times New Roman"/>
        <w:sz w:val="20"/>
        <w:szCs w:val="20"/>
      </w:rPr>
      <w:instrText xml:space="preserve"> PAGE  \* MERGEFORMAT </w:instrText>
    </w:r>
    <w:r w:rsidRPr="007C3E12">
      <w:rPr>
        <w:rFonts w:ascii="Times New Roman" w:hAnsi="Times New Roman" w:cs="Times New Roman"/>
        <w:sz w:val="20"/>
        <w:szCs w:val="20"/>
      </w:rPr>
      <w:fldChar w:fldCharType="separate"/>
    </w:r>
    <w:r w:rsidRPr="007C3E12">
      <w:rPr>
        <w:rFonts w:ascii="Times New Roman" w:hAnsi="Times New Roman" w:cs="Times New Roman"/>
        <w:noProof/>
        <w:sz w:val="20"/>
        <w:szCs w:val="20"/>
      </w:rPr>
      <w:t>2</w:t>
    </w:r>
    <w:r w:rsidRPr="007C3E12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130" w14:textId="521DA784" w:rsidR="00AA4624" w:rsidRDefault="007C3E12" w:rsidP="007C3E12">
    <w:pPr>
      <w:pStyle w:val="Footer"/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Talent for Turnaround</w:t>
    </w:r>
    <w:r w:rsidRPr="007C3E12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7C3E12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Mentoring and Induction in Tu</w:t>
    </w:r>
    <w:r w:rsidR="008B7BAE">
      <w:rPr>
        <w:rFonts w:ascii="Times New Roman" w:hAnsi="Times New Roman" w:cs="Times New Roman"/>
        <w:sz w:val="20"/>
        <w:szCs w:val="20"/>
      </w:rPr>
      <w:t>rnaround Schools Crosswalk and Reflection</w:t>
    </w:r>
    <w:r>
      <w:rPr>
        <w:rFonts w:ascii="Times New Roman" w:hAnsi="Times New Roman" w:cs="Times New Roman"/>
        <w:sz w:val="20"/>
        <w:szCs w:val="20"/>
      </w:rPr>
      <w:t>—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56B04E97" w14:textId="3FE5B021" w:rsidR="00AA4624" w:rsidRPr="00AA4624" w:rsidRDefault="00AA4624" w:rsidP="00AA4624">
    <w:pPr>
      <w:pStyle w:val="Footer"/>
      <w:ind w:right="360"/>
      <w:jc w:val="right"/>
      <w:rPr>
        <w:rFonts w:ascii="Arial" w:hAnsi="Arial" w:cs="Arial"/>
        <w:sz w:val="16"/>
        <w:szCs w:val="16"/>
      </w:rPr>
    </w:pPr>
    <w:r w:rsidRPr="00AA4624">
      <w:rPr>
        <w:rFonts w:ascii="Arial" w:hAnsi="Arial" w:cs="Arial"/>
        <w:sz w:val="16"/>
        <w:szCs w:val="16"/>
      </w:rPr>
      <w:t>3767_02/18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E10CD" w14:textId="77777777" w:rsidR="00DE6880" w:rsidRDefault="00DE6880" w:rsidP="00734E65">
      <w:pPr>
        <w:spacing w:after="0" w:line="240" w:lineRule="auto"/>
      </w:pPr>
      <w:r>
        <w:separator/>
      </w:r>
    </w:p>
  </w:footnote>
  <w:footnote w:type="continuationSeparator" w:id="0">
    <w:p w14:paraId="7127EF66" w14:textId="77777777" w:rsidR="00DE6880" w:rsidRDefault="00DE6880" w:rsidP="0073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8C96" w14:textId="3DFE9E7F" w:rsidR="00C31AE7" w:rsidRDefault="00103096" w:rsidP="00103096">
    <w:pPr>
      <w:pStyle w:val="Header"/>
      <w:tabs>
        <w:tab w:val="clear" w:pos="4680"/>
        <w:tab w:val="clear" w:pos="9360"/>
        <w:tab w:val="left" w:pos="5440"/>
      </w:tabs>
    </w:pPr>
    <w:r w:rsidRPr="00103096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E656FA" wp14:editId="32CF5689">
              <wp:simplePos x="0" y="0"/>
              <wp:positionH relativeFrom="page">
                <wp:posOffset>266700</wp:posOffset>
              </wp:positionH>
              <wp:positionV relativeFrom="page">
                <wp:posOffset>825500</wp:posOffset>
              </wp:positionV>
              <wp:extent cx="9601200" cy="91440"/>
              <wp:effectExtent l="0" t="0" r="0" b="3810"/>
              <wp:wrapTopAndBottom/>
              <wp:docPr id="19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0120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0000">
                            <a:srgbClr val="8CD7C6"/>
                          </a:gs>
                          <a:gs pos="49500">
                            <a:srgbClr val="103C9C"/>
                          </a:gs>
                          <a:gs pos="40000">
                            <a:srgbClr val="84B2DE"/>
                          </a:gs>
                          <a:gs pos="0">
                            <a:srgbClr val="3175A5"/>
                          </a:gs>
                          <a:gs pos="100000">
                            <a:srgbClr val="298A6B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B99CBE" id="Rectangle 3" o:spid="_x0000_s1026" style="position:absolute;margin-left:21pt;margin-top:65pt;width:756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" fillcolor="#3175a5" stroked="f">
              <v:fill color2="#298a6b" rotate="t" angle="90" colors="0 #3175a5;26214f #84b2de;32440f #103c9c;39322f #8cd7c6;1 #298a6b" focus="100%" type="gradient"/>
              <w10:wrap type="topAndBottom" anchorx="page" anchory="page"/>
            </v:rect>
          </w:pict>
        </mc:Fallback>
      </mc:AlternateContent>
    </w:r>
    <w:r w:rsidR="00C31AE7">
      <w:rPr>
        <w:noProof/>
      </w:rPr>
      <w:drawing>
        <wp:anchor distT="0" distB="0" distL="114300" distR="114300" simplePos="0" relativeHeight="251659264" behindDoc="1" locked="0" layoutInCell="1" allowOverlap="1" wp14:anchorId="02F349DD" wp14:editId="4714B84E">
          <wp:simplePos x="0" y="0"/>
          <wp:positionH relativeFrom="margin">
            <wp:posOffset>-6350</wp:posOffset>
          </wp:positionH>
          <wp:positionV relativeFrom="page">
            <wp:posOffset>114300</wp:posOffset>
          </wp:positionV>
          <wp:extent cx="2880360" cy="621792"/>
          <wp:effectExtent l="0" t="0" r="0" b="6985"/>
          <wp:wrapNone/>
          <wp:docPr id="23" name="Picture 23" descr="\\IL1VFS001\Groups\Editing\___Templates_Word-PPT\Talent for Turnaround (16-6088)\Graphics\16-6002 logo for powerpo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L1VFS001\Groups\Editing\___Templates_Word-PPT\Talent for Turnaround (16-6088)\Graphics\16-6002 logo for powerpoi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B78"/>
    <w:multiLevelType w:val="hybridMultilevel"/>
    <w:tmpl w:val="FFF2941C"/>
    <w:lvl w:ilvl="0" w:tplc="25DE0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3593"/>
    <w:multiLevelType w:val="hybridMultilevel"/>
    <w:tmpl w:val="DA020680"/>
    <w:lvl w:ilvl="0" w:tplc="B1546F4C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8F8"/>
    <w:multiLevelType w:val="hybridMultilevel"/>
    <w:tmpl w:val="D3CAA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5EA1"/>
    <w:multiLevelType w:val="hybridMultilevel"/>
    <w:tmpl w:val="3274D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5F1C"/>
    <w:multiLevelType w:val="hybridMultilevel"/>
    <w:tmpl w:val="BF687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4EC1"/>
    <w:multiLevelType w:val="hybridMultilevel"/>
    <w:tmpl w:val="08E0C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541DB"/>
    <w:multiLevelType w:val="multilevel"/>
    <w:tmpl w:val="0FDE01E8"/>
    <w:styleLink w:val="AIRNumber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7" w15:restartNumberingAfterBreak="0">
    <w:nsid w:val="29276630"/>
    <w:multiLevelType w:val="hybridMultilevel"/>
    <w:tmpl w:val="63D2E102"/>
    <w:lvl w:ilvl="0" w:tplc="991EA2E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B17E4"/>
    <w:multiLevelType w:val="hybridMultilevel"/>
    <w:tmpl w:val="652A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83FC6"/>
    <w:multiLevelType w:val="hybridMultilevel"/>
    <w:tmpl w:val="2FA8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05480"/>
    <w:multiLevelType w:val="hybridMultilevel"/>
    <w:tmpl w:val="F490C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C6845"/>
    <w:multiLevelType w:val="hybridMultilevel"/>
    <w:tmpl w:val="C238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F70"/>
    <w:multiLevelType w:val="hybridMultilevel"/>
    <w:tmpl w:val="6658A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22194"/>
    <w:multiLevelType w:val="hybridMultilevel"/>
    <w:tmpl w:val="EB468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47702"/>
    <w:multiLevelType w:val="hybridMultilevel"/>
    <w:tmpl w:val="9CA87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D07FF"/>
    <w:multiLevelType w:val="singleLevel"/>
    <w:tmpl w:val="9202FE16"/>
    <w:lvl w:ilvl="0">
      <w:start w:val="1"/>
      <w:numFmt w:val="bullet"/>
      <w:pStyle w:val="TableBullet2"/>
      <w:lvlText w:val="●"/>
      <w:lvlJc w:val="left"/>
      <w:pPr>
        <w:ind w:left="43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18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3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4"/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8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01"/>
    <w:rsid w:val="00014417"/>
    <w:rsid w:val="00021A08"/>
    <w:rsid w:val="00027FE7"/>
    <w:rsid w:val="00033D57"/>
    <w:rsid w:val="00046F75"/>
    <w:rsid w:val="000614B2"/>
    <w:rsid w:val="000644A3"/>
    <w:rsid w:val="00076597"/>
    <w:rsid w:val="000811AE"/>
    <w:rsid w:val="00093E7C"/>
    <w:rsid w:val="000A1E22"/>
    <w:rsid w:val="000A76A0"/>
    <w:rsid w:val="000B0A45"/>
    <w:rsid w:val="000B1829"/>
    <w:rsid w:val="000B76F4"/>
    <w:rsid w:val="000C37C3"/>
    <w:rsid w:val="000D7DF1"/>
    <w:rsid w:val="000F1E9D"/>
    <w:rsid w:val="000F4E8D"/>
    <w:rsid w:val="00103096"/>
    <w:rsid w:val="001127D2"/>
    <w:rsid w:val="00114350"/>
    <w:rsid w:val="00124317"/>
    <w:rsid w:val="00143392"/>
    <w:rsid w:val="001548D6"/>
    <w:rsid w:val="00161E55"/>
    <w:rsid w:val="00166E4C"/>
    <w:rsid w:val="0018701F"/>
    <w:rsid w:val="001A0975"/>
    <w:rsid w:val="001C5894"/>
    <w:rsid w:val="001C638D"/>
    <w:rsid w:val="001E6B8C"/>
    <w:rsid w:val="001E75C9"/>
    <w:rsid w:val="001F1BD2"/>
    <w:rsid w:val="001F388A"/>
    <w:rsid w:val="001F480D"/>
    <w:rsid w:val="002000A2"/>
    <w:rsid w:val="0020406A"/>
    <w:rsid w:val="00210EBC"/>
    <w:rsid w:val="00251658"/>
    <w:rsid w:val="00296101"/>
    <w:rsid w:val="002A2F31"/>
    <w:rsid w:val="002C690C"/>
    <w:rsid w:val="002D2624"/>
    <w:rsid w:val="002D54F1"/>
    <w:rsid w:val="002F0BA6"/>
    <w:rsid w:val="00305137"/>
    <w:rsid w:val="003218CD"/>
    <w:rsid w:val="00352283"/>
    <w:rsid w:val="00371B95"/>
    <w:rsid w:val="00386A10"/>
    <w:rsid w:val="003B4E0F"/>
    <w:rsid w:val="003C20E2"/>
    <w:rsid w:val="003C5A80"/>
    <w:rsid w:val="003D2B22"/>
    <w:rsid w:val="003D6100"/>
    <w:rsid w:val="003E0A1A"/>
    <w:rsid w:val="003E0B5E"/>
    <w:rsid w:val="003E1EDF"/>
    <w:rsid w:val="003E4415"/>
    <w:rsid w:val="003E6520"/>
    <w:rsid w:val="00400C6F"/>
    <w:rsid w:val="00405700"/>
    <w:rsid w:val="004116B4"/>
    <w:rsid w:val="004223E5"/>
    <w:rsid w:val="00423F2F"/>
    <w:rsid w:val="00440BD8"/>
    <w:rsid w:val="00452E51"/>
    <w:rsid w:val="00463B6A"/>
    <w:rsid w:val="00477A0C"/>
    <w:rsid w:val="00491289"/>
    <w:rsid w:val="00491C2B"/>
    <w:rsid w:val="00497627"/>
    <w:rsid w:val="004B06F5"/>
    <w:rsid w:val="004B33F6"/>
    <w:rsid w:val="004C01EF"/>
    <w:rsid w:val="004C069E"/>
    <w:rsid w:val="004D15EE"/>
    <w:rsid w:val="004E076A"/>
    <w:rsid w:val="004E6794"/>
    <w:rsid w:val="004E769F"/>
    <w:rsid w:val="00501B7D"/>
    <w:rsid w:val="0053087F"/>
    <w:rsid w:val="005838AD"/>
    <w:rsid w:val="005A6CE4"/>
    <w:rsid w:val="005E426E"/>
    <w:rsid w:val="005F70CD"/>
    <w:rsid w:val="006108D2"/>
    <w:rsid w:val="00632A2C"/>
    <w:rsid w:val="00634EFE"/>
    <w:rsid w:val="00651256"/>
    <w:rsid w:val="00652DC4"/>
    <w:rsid w:val="00695014"/>
    <w:rsid w:val="006B0404"/>
    <w:rsid w:val="006B67C8"/>
    <w:rsid w:val="006C25CC"/>
    <w:rsid w:val="006C27EF"/>
    <w:rsid w:val="006D1206"/>
    <w:rsid w:val="006E48DF"/>
    <w:rsid w:val="006E6E02"/>
    <w:rsid w:val="006F2231"/>
    <w:rsid w:val="007123FA"/>
    <w:rsid w:val="00724C03"/>
    <w:rsid w:val="00734E65"/>
    <w:rsid w:val="007446B4"/>
    <w:rsid w:val="00763D81"/>
    <w:rsid w:val="007A15C1"/>
    <w:rsid w:val="007A1738"/>
    <w:rsid w:val="007B08B8"/>
    <w:rsid w:val="007B3699"/>
    <w:rsid w:val="007C3E12"/>
    <w:rsid w:val="007C3EEE"/>
    <w:rsid w:val="007D101D"/>
    <w:rsid w:val="007D6024"/>
    <w:rsid w:val="007F7436"/>
    <w:rsid w:val="00804B28"/>
    <w:rsid w:val="00807D9A"/>
    <w:rsid w:val="008237D3"/>
    <w:rsid w:val="00832E3F"/>
    <w:rsid w:val="008403C7"/>
    <w:rsid w:val="00843047"/>
    <w:rsid w:val="00874E8A"/>
    <w:rsid w:val="0087535E"/>
    <w:rsid w:val="0088045D"/>
    <w:rsid w:val="008B7BAE"/>
    <w:rsid w:val="008C1B5A"/>
    <w:rsid w:val="009143AD"/>
    <w:rsid w:val="0093110A"/>
    <w:rsid w:val="00932192"/>
    <w:rsid w:val="009325BC"/>
    <w:rsid w:val="009331F8"/>
    <w:rsid w:val="009415F3"/>
    <w:rsid w:val="009A0FA9"/>
    <w:rsid w:val="009A4EA1"/>
    <w:rsid w:val="009C09B6"/>
    <w:rsid w:val="009E2439"/>
    <w:rsid w:val="00A02AF6"/>
    <w:rsid w:val="00A05DCC"/>
    <w:rsid w:val="00A24BD8"/>
    <w:rsid w:val="00A350DE"/>
    <w:rsid w:val="00A727C8"/>
    <w:rsid w:val="00A733DB"/>
    <w:rsid w:val="00A77839"/>
    <w:rsid w:val="00A85901"/>
    <w:rsid w:val="00A95A5D"/>
    <w:rsid w:val="00AA4624"/>
    <w:rsid w:val="00AB657D"/>
    <w:rsid w:val="00AC366A"/>
    <w:rsid w:val="00AE3E21"/>
    <w:rsid w:val="00AF2940"/>
    <w:rsid w:val="00B013E8"/>
    <w:rsid w:val="00B24C78"/>
    <w:rsid w:val="00B54D26"/>
    <w:rsid w:val="00B573C2"/>
    <w:rsid w:val="00B734FD"/>
    <w:rsid w:val="00B90FF1"/>
    <w:rsid w:val="00B97BC4"/>
    <w:rsid w:val="00BE3B33"/>
    <w:rsid w:val="00BF73C5"/>
    <w:rsid w:val="00C12B43"/>
    <w:rsid w:val="00C31AE7"/>
    <w:rsid w:val="00C352BC"/>
    <w:rsid w:val="00C460D1"/>
    <w:rsid w:val="00C5254D"/>
    <w:rsid w:val="00C64278"/>
    <w:rsid w:val="00C674D9"/>
    <w:rsid w:val="00C7480B"/>
    <w:rsid w:val="00C778E6"/>
    <w:rsid w:val="00C83035"/>
    <w:rsid w:val="00CB1D9C"/>
    <w:rsid w:val="00CB36B2"/>
    <w:rsid w:val="00CB4273"/>
    <w:rsid w:val="00CD73AD"/>
    <w:rsid w:val="00CE296F"/>
    <w:rsid w:val="00CF6BC7"/>
    <w:rsid w:val="00D14055"/>
    <w:rsid w:val="00D2084E"/>
    <w:rsid w:val="00D20F2F"/>
    <w:rsid w:val="00D2779C"/>
    <w:rsid w:val="00D30087"/>
    <w:rsid w:val="00D37690"/>
    <w:rsid w:val="00D46710"/>
    <w:rsid w:val="00D5797E"/>
    <w:rsid w:val="00D7598E"/>
    <w:rsid w:val="00D81317"/>
    <w:rsid w:val="00DB625A"/>
    <w:rsid w:val="00DD2A04"/>
    <w:rsid w:val="00DD6AB7"/>
    <w:rsid w:val="00DE40F3"/>
    <w:rsid w:val="00DE56D2"/>
    <w:rsid w:val="00DE58C2"/>
    <w:rsid w:val="00DE6880"/>
    <w:rsid w:val="00E30013"/>
    <w:rsid w:val="00E459A4"/>
    <w:rsid w:val="00E60EC6"/>
    <w:rsid w:val="00E845D0"/>
    <w:rsid w:val="00E93001"/>
    <w:rsid w:val="00EB7770"/>
    <w:rsid w:val="00ED7FC5"/>
    <w:rsid w:val="00EF5C88"/>
    <w:rsid w:val="00F250A1"/>
    <w:rsid w:val="00F37C3E"/>
    <w:rsid w:val="00F45DBE"/>
    <w:rsid w:val="00F46921"/>
    <w:rsid w:val="00F74B82"/>
    <w:rsid w:val="00F81DA0"/>
    <w:rsid w:val="00FA2106"/>
    <w:rsid w:val="00FA4BD8"/>
    <w:rsid w:val="00FB73D8"/>
    <w:rsid w:val="00FB7B4F"/>
    <w:rsid w:val="00FD4131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3BAA06"/>
  <w15:docId w15:val="{1E2B4237-B395-4110-925E-77598E9D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94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rsid w:val="00734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E65"/>
  </w:style>
  <w:style w:type="character" w:styleId="PageNumber">
    <w:name w:val="page number"/>
    <w:basedOn w:val="DefaultParagraphFont"/>
    <w:uiPriority w:val="99"/>
    <w:semiHidden/>
    <w:unhideWhenUsed/>
    <w:rsid w:val="00734E65"/>
  </w:style>
  <w:style w:type="paragraph" w:styleId="ListParagraph">
    <w:name w:val="List Paragraph"/>
    <w:basedOn w:val="Normal"/>
    <w:uiPriority w:val="34"/>
    <w:qFormat/>
    <w:rsid w:val="001A0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001"/>
  </w:style>
  <w:style w:type="character" w:styleId="Hyperlink">
    <w:name w:val="Hyperlink"/>
    <w:basedOn w:val="DefaultParagraphFont"/>
    <w:uiPriority w:val="99"/>
    <w:unhideWhenUsed/>
    <w:rsid w:val="00832E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9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C09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9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9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9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B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E0B5E"/>
    <w:pPr>
      <w:widowControl w:val="0"/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6">
    <w:name w:val="A6"/>
    <w:uiPriority w:val="99"/>
    <w:rsid w:val="003E0B5E"/>
    <w:rPr>
      <w:rFonts w:cs="Gotham Book"/>
      <w:color w:val="000000"/>
      <w:sz w:val="10"/>
      <w:szCs w:val="10"/>
    </w:rPr>
  </w:style>
  <w:style w:type="character" w:customStyle="1" w:styleId="A7">
    <w:name w:val="A7"/>
    <w:uiPriority w:val="99"/>
    <w:rsid w:val="003E0B5E"/>
    <w:rPr>
      <w:rFonts w:cs="Gotham Book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427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9762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8B7BAE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7BAE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7BAE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B7BAE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B7BAE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B7BAE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2">
    <w:name w:val="Table Bullet 2"/>
    <w:basedOn w:val="Normal"/>
    <w:uiPriority w:val="16"/>
    <w:qFormat/>
    <w:rsid w:val="008B7BAE"/>
    <w:pPr>
      <w:numPr>
        <w:numId w:val="13"/>
      </w:numPr>
      <w:tabs>
        <w:tab w:val="num" w:pos="360"/>
      </w:tabs>
      <w:spacing w:before="40" w:after="40" w:line="240" w:lineRule="auto"/>
      <w:ind w:left="648" w:hanging="288"/>
    </w:pPr>
    <w:rPr>
      <w:rFonts w:ascii="Arial" w:eastAsia="Times New Roman" w:hAnsi="Arial" w:cs="Times New Roman"/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8B7BAE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B7BAE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B7BAE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8B7BAE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IRNumber">
    <w:name w:val="AIR Number"/>
    <w:uiPriority w:val="99"/>
    <w:rsid w:val="008B7BAE"/>
    <w:pPr>
      <w:numPr>
        <w:numId w:val="16"/>
      </w:numPr>
    </w:pPr>
  </w:style>
  <w:style w:type="paragraph" w:customStyle="1" w:styleId="NumberedList">
    <w:name w:val="Numbered List"/>
    <w:basedOn w:val="BodyText"/>
    <w:uiPriority w:val="4"/>
    <w:qFormat/>
    <w:rsid w:val="008B7BAE"/>
    <w:pPr>
      <w:keepLines/>
      <w:numPr>
        <w:numId w:val="16"/>
      </w:numPr>
      <w:tabs>
        <w:tab w:val="num" w:pos="360"/>
      </w:tabs>
      <w:spacing w:before="120" w:line="240" w:lineRule="auto"/>
      <w:ind w:left="0" w:firstLine="0"/>
    </w:pPr>
    <w:rPr>
      <w:rFonts w:eastAsia="Times New Roman" w:cs="Times New Roman"/>
      <w:sz w:val="24"/>
      <w:szCs w:val="24"/>
    </w:rPr>
  </w:style>
  <w:style w:type="paragraph" w:customStyle="1" w:styleId="TableBullet1">
    <w:name w:val="Table Bullet 1"/>
    <w:basedOn w:val="Normal"/>
    <w:uiPriority w:val="16"/>
    <w:qFormat/>
    <w:rsid w:val="008B7BAE"/>
    <w:pPr>
      <w:numPr>
        <w:numId w:val="17"/>
      </w:numPr>
      <w:spacing w:before="40" w:after="40" w:line="240" w:lineRule="auto"/>
      <w:ind w:left="225" w:hanging="225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Text">
    <w:name w:val="Table Text"/>
    <w:uiPriority w:val="15"/>
    <w:qFormat/>
    <w:rsid w:val="008B7BAE"/>
    <w:pPr>
      <w:spacing w:before="40" w:after="4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Subheading">
    <w:name w:val="Table Subheading"/>
    <w:basedOn w:val="TableText"/>
    <w:uiPriority w:val="15"/>
    <w:qFormat/>
    <w:rsid w:val="008B7BAE"/>
    <w:rPr>
      <w:b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B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BAE"/>
  </w:style>
  <w:style w:type="paragraph" w:customStyle="1" w:styleId="PubID">
    <w:name w:val="PubID"/>
    <w:basedOn w:val="Normal"/>
    <w:link w:val="PubIDChar"/>
    <w:uiPriority w:val="99"/>
    <w:rsid w:val="00AA4624"/>
    <w:pPr>
      <w:tabs>
        <w:tab w:val="right" w:pos="9360"/>
      </w:tabs>
      <w:spacing w:after="580" w:line="240" w:lineRule="auto"/>
      <w:jc w:val="right"/>
    </w:pPr>
    <w:rPr>
      <w:rFonts w:asciiTheme="majorHAnsi" w:eastAsia="Calibri" w:hAnsiTheme="majorHAnsi"/>
      <w:sz w:val="16"/>
      <w:szCs w:val="16"/>
    </w:rPr>
  </w:style>
  <w:style w:type="character" w:customStyle="1" w:styleId="PubIDChar">
    <w:name w:val="PubID Char"/>
    <w:basedOn w:val="DefaultParagraphFont"/>
    <w:link w:val="PubID"/>
    <w:uiPriority w:val="99"/>
    <w:rsid w:val="00AA4624"/>
    <w:rPr>
      <w:rFonts w:asciiTheme="majorHAnsi" w:eastAsia="Calibri" w:hAnsi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onschoolturnaround.org/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enteronschoolturnaround.org/wp-content/uploads/2017/02/CST_Four-Domains-Framework-Final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teachercenter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newteachercenter.org/wp-content/uploads/high-quality-mentoring_induction-resource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tlcenter.org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091B22-DE69-784F-8C79-F246F3C2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and Induction Self-Assessment for Talent for Turnaround Districts</vt:lpstr>
    </vt:vector>
  </TitlesOfParts>
  <Company/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and Induction Self-Assessment for Talent for Turnaround Districts</dc:title>
  <dc:subject/>
  <dc:creator>Hayes, Lindsey</dc:creator>
  <cp:keywords/>
  <dc:description/>
  <cp:lastModifiedBy>Lindsey Hayes</cp:lastModifiedBy>
  <cp:revision>67</cp:revision>
  <dcterms:created xsi:type="dcterms:W3CDTF">2017-11-08T15:21:00Z</dcterms:created>
  <dcterms:modified xsi:type="dcterms:W3CDTF">2018-02-12T13:26:00Z</dcterms:modified>
</cp:coreProperties>
</file>